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7BD15" w14:textId="220AC117" w:rsidR="00BD507F" w:rsidRPr="00CF5D92" w:rsidRDefault="00000000">
      <w:pPr>
        <w:pStyle w:val="B3"/>
        <w:spacing w:before="120"/>
        <w:ind w:left="0" w:firstLine="0"/>
        <w:rPr>
          <w:rFonts w:ascii="Arial" w:eastAsiaTheme="minorEastAsia" w:hAnsi="Arial" w:cs="Arial"/>
          <w:b/>
          <w:sz w:val="24"/>
          <w:szCs w:val="24"/>
          <w:lang w:eastAsia="zh-CN"/>
        </w:rPr>
      </w:pPr>
      <w:bookmarkStart w:id="0" w:name="_Hlk154505859"/>
      <w:bookmarkStart w:id="1" w:name="_Hlk210166737"/>
      <w:bookmarkStart w:id="2" w:name="_Ref131412611"/>
      <w:r>
        <w:rPr>
          <w:rFonts w:ascii="Arial" w:eastAsia="Malgun Gothic" w:hAnsi="Arial" w:cs="Arial"/>
          <w:b/>
          <w:sz w:val="24"/>
          <w:szCs w:val="24"/>
          <w:lang w:eastAsia="ko-KR"/>
        </w:rPr>
        <w:t>3GPP TSG-RAN WG2 Meeting #13</w:t>
      </w:r>
      <w:r>
        <w:rPr>
          <w:rFonts w:ascii="Arial" w:hAnsi="Arial" w:cs="Arial" w:hint="eastAsia"/>
          <w:b/>
          <w:sz w:val="24"/>
          <w:szCs w:val="24"/>
          <w:lang w:val="en-US" w:eastAsia="zh-CN"/>
        </w:rPr>
        <w:t>2</w:t>
      </w:r>
      <w:r>
        <w:rPr>
          <w:rFonts w:ascii="Arial" w:eastAsia="Malgun Gothic" w:hAnsi="Arial" w:cs="Arial"/>
          <w:b/>
          <w:sz w:val="24"/>
          <w:szCs w:val="24"/>
          <w:lang w:eastAsia="ko-KR"/>
        </w:rPr>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Pr>
          <w:rFonts w:ascii="Arial" w:eastAsiaTheme="minorEastAsia" w:hAnsi="Arial" w:cs="Arial" w:hint="eastAsia"/>
          <w:b/>
          <w:sz w:val="24"/>
          <w:szCs w:val="24"/>
          <w:lang w:eastAsia="zh-CN"/>
        </w:rPr>
        <w:t xml:space="preserve">   </w:t>
      </w:r>
      <w:r>
        <w:rPr>
          <w:rFonts w:ascii="Arial" w:eastAsiaTheme="minorEastAsia" w:hAnsi="Arial" w:cs="Arial" w:hint="eastAsia"/>
          <w:b/>
          <w:sz w:val="24"/>
          <w:szCs w:val="24"/>
          <w:lang w:val="en-US" w:eastAsia="zh-CN"/>
        </w:rPr>
        <w:t xml:space="preserve">  </w:t>
      </w:r>
      <w:r>
        <w:rPr>
          <w:rFonts w:ascii="Arial" w:eastAsia="Malgun Gothic" w:hAnsi="Arial" w:cs="Arial" w:hint="eastAsia"/>
          <w:b/>
          <w:sz w:val="24"/>
          <w:szCs w:val="24"/>
          <w:lang w:eastAsia="ko-KR"/>
        </w:rPr>
        <w:t xml:space="preserve"> </w:t>
      </w:r>
      <w:r w:rsidR="00352F9B">
        <w:rPr>
          <w:rFonts w:ascii="Arial" w:eastAsiaTheme="minorEastAsia" w:hAnsi="Arial" w:cs="Arial" w:hint="eastAsia"/>
          <w:b/>
          <w:sz w:val="24"/>
          <w:szCs w:val="24"/>
          <w:lang w:eastAsia="zh-CN"/>
        </w:rPr>
        <w:t xml:space="preserve">   </w:t>
      </w:r>
      <w:r w:rsidRPr="00CF5D92">
        <w:rPr>
          <w:rFonts w:ascii="Arial" w:eastAsia="Malgun Gothic" w:hAnsi="Arial" w:cs="Arial"/>
          <w:b/>
          <w:bCs/>
          <w:sz w:val="24"/>
          <w:szCs w:val="24"/>
          <w:lang w:eastAsia="ko-KR"/>
        </w:rPr>
        <w:t>R2-250</w:t>
      </w:r>
      <w:r w:rsidR="00CF5D92" w:rsidRPr="00CF5D92">
        <w:rPr>
          <w:rFonts w:ascii="Arial" w:eastAsiaTheme="minorEastAsia" w:hAnsi="Arial" w:cs="Arial" w:hint="eastAsia"/>
          <w:b/>
          <w:bCs/>
          <w:sz w:val="24"/>
          <w:szCs w:val="24"/>
          <w:lang w:eastAsia="zh-CN"/>
        </w:rPr>
        <w:t>9004</w:t>
      </w:r>
    </w:p>
    <w:p w14:paraId="081BB457" w14:textId="77777777" w:rsidR="00BD507F" w:rsidRDefault="00000000">
      <w:pPr>
        <w:pStyle w:val="af7"/>
        <w:tabs>
          <w:tab w:val="left" w:pos="1701"/>
          <w:tab w:val="right" w:pos="9923"/>
        </w:tabs>
        <w:rPr>
          <w:vertAlign w:val="superscript"/>
          <w:lang w:val="en-US"/>
        </w:rPr>
      </w:pPr>
      <w:r>
        <w:rPr>
          <w:rFonts w:eastAsia="Malgun Gothic" w:cs="Arial"/>
          <w:sz w:val="24"/>
          <w:szCs w:val="24"/>
          <w:lang w:val="en-US" w:eastAsia="ko-KR"/>
        </w:rPr>
        <w:t>Dallas</w:t>
      </w:r>
      <w:r>
        <w:rPr>
          <w:rFonts w:cs="Arial" w:hint="eastAsia"/>
          <w:sz w:val="24"/>
          <w:szCs w:val="24"/>
          <w:lang w:val="en-US" w:eastAsia="zh-CN"/>
        </w:rPr>
        <w:t xml:space="preserve">, </w:t>
      </w:r>
      <w:r>
        <w:rPr>
          <w:rFonts w:eastAsia="Malgun Gothic" w:cs="Arial" w:hint="eastAsia"/>
          <w:sz w:val="24"/>
          <w:szCs w:val="24"/>
          <w:lang w:val="en-US" w:eastAsia="zh-CN"/>
        </w:rPr>
        <w:t>USA</w:t>
      </w:r>
      <w:r>
        <w:rPr>
          <w:rFonts w:eastAsia="Malgun Gothic" w:cs="Arial"/>
          <w:sz w:val="24"/>
          <w:szCs w:val="24"/>
          <w:lang w:val="en-US" w:eastAsia="ko-KR"/>
        </w:rPr>
        <w:t>, Nov. 17</w:t>
      </w:r>
      <w:r>
        <w:rPr>
          <w:rFonts w:eastAsia="Malgun Gothic" w:cs="Arial"/>
          <w:sz w:val="24"/>
          <w:szCs w:val="24"/>
          <w:vertAlign w:val="superscript"/>
          <w:lang w:val="en-US" w:eastAsia="ko-KR"/>
        </w:rPr>
        <w:t xml:space="preserve">th </w:t>
      </w:r>
      <w:r>
        <w:rPr>
          <w:rFonts w:eastAsia="Malgun Gothic" w:cs="Arial"/>
          <w:sz w:val="24"/>
          <w:szCs w:val="24"/>
          <w:lang w:val="en-US" w:eastAsia="ko-KR"/>
        </w:rPr>
        <w:t>- 21</w:t>
      </w:r>
      <w:r>
        <w:rPr>
          <w:rFonts w:eastAsia="Malgun Gothic" w:cs="Arial"/>
          <w:sz w:val="24"/>
          <w:szCs w:val="24"/>
          <w:vertAlign w:val="superscript"/>
          <w:lang w:val="en-US" w:eastAsia="ko-KR"/>
        </w:rPr>
        <w:t>st</w:t>
      </w:r>
    </w:p>
    <w:p w14:paraId="713DED78" w14:textId="77777777" w:rsidR="00BD507F" w:rsidRDefault="00BD507F">
      <w:pPr>
        <w:widowControl w:val="0"/>
        <w:tabs>
          <w:tab w:val="right" w:pos="9639"/>
        </w:tabs>
        <w:spacing w:after="0" w:line="360" w:lineRule="auto"/>
        <w:rPr>
          <w:rFonts w:ascii="Arial" w:eastAsiaTheme="minorEastAsia" w:hAnsi="Arial" w:cs="Arial"/>
          <w:b/>
          <w:bCs/>
          <w:sz w:val="24"/>
          <w:szCs w:val="24"/>
          <w:lang w:eastAsia="zh-CN"/>
        </w:rPr>
      </w:pPr>
    </w:p>
    <w:p w14:paraId="41C26E9F" w14:textId="77777777" w:rsidR="00BD507F" w:rsidRDefault="00000000">
      <w:pPr>
        <w:widowControl w:val="0"/>
        <w:tabs>
          <w:tab w:val="left" w:pos="1701"/>
          <w:tab w:val="right" w:pos="9923"/>
        </w:tabs>
        <w:spacing w:before="120" w:after="0"/>
        <w:rPr>
          <w:rFonts w:ascii="Calibri" w:hAnsi="Calibri" w:cs="Arial"/>
          <w:b/>
          <w:sz w:val="24"/>
          <w:szCs w:val="24"/>
          <w:lang w:val="en-US" w:eastAsia="zh-CN"/>
        </w:rPr>
      </w:pPr>
      <w:bookmarkStart w:id="3" w:name="_Hlk209730513"/>
      <w:bookmarkEnd w:id="0"/>
      <w:r>
        <w:rPr>
          <w:rFonts w:ascii="Arial" w:hAnsi="Arial" w:cs="Arial"/>
          <w:b/>
          <w:sz w:val="24"/>
          <w:szCs w:val="24"/>
          <w:lang w:val="de-DE" w:eastAsia="zh-CN"/>
        </w:rPr>
        <w:t>Agenda item:</w:t>
      </w:r>
      <w:r>
        <w:rPr>
          <w:rFonts w:ascii="Arial" w:hAnsi="Arial" w:cs="Arial"/>
          <w:b/>
          <w:sz w:val="24"/>
          <w:szCs w:val="24"/>
          <w:lang w:val="de-DE" w:eastAsia="zh-CN"/>
        </w:rPr>
        <w:tab/>
      </w:r>
      <w:r>
        <w:rPr>
          <w:rFonts w:ascii="Arial" w:hAnsi="Arial" w:cs="Arial" w:hint="eastAsia"/>
          <w:b/>
          <w:sz w:val="24"/>
          <w:szCs w:val="24"/>
          <w:lang w:val="de-DE" w:eastAsia="zh-CN"/>
        </w:rPr>
        <w:t>10</w:t>
      </w:r>
      <w:r>
        <w:rPr>
          <w:rFonts w:ascii="Arial" w:hAnsi="Arial" w:cs="Arial"/>
          <w:b/>
          <w:sz w:val="24"/>
          <w:szCs w:val="24"/>
          <w:lang w:val="de-DE" w:eastAsia="zh-CN"/>
        </w:rPr>
        <w:t>.</w:t>
      </w:r>
      <w:r>
        <w:rPr>
          <w:rFonts w:ascii="Arial" w:hAnsi="Arial" w:cs="Arial" w:hint="eastAsia"/>
          <w:b/>
          <w:sz w:val="24"/>
          <w:szCs w:val="24"/>
          <w:lang w:val="de-DE" w:eastAsia="zh-CN"/>
        </w:rPr>
        <w:t>3</w:t>
      </w:r>
      <w:r>
        <w:rPr>
          <w:rFonts w:ascii="Arial" w:hAnsi="Arial" w:cs="Arial"/>
          <w:b/>
          <w:sz w:val="24"/>
          <w:szCs w:val="24"/>
          <w:lang w:val="de-DE" w:eastAsia="zh-CN"/>
        </w:rPr>
        <w:t>.</w:t>
      </w:r>
      <w:r>
        <w:rPr>
          <w:rFonts w:ascii="Arial" w:hAnsi="Arial" w:cs="Arial" w:hint="eastAsia"/>
          <w:b/>
          <w:sz w:val="24"/>
          <w:szCs w:val="24"/>
          <w:lang w:val="en-US" w:eastAsia="zh-CN"/>
        </w:rPr>
        <w:t>1.2</w:t>
      </w:r>
    </w:p>
    <w:p w14:paraId="5B1A9031" w14:textId="77777777" w:rsidR="00BD507F" w:rsidRDefault="00000000">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Source:</w:t>
      </w:r>
      <w:r>
        <w:rPr>
          <w:rFonts w:ascii="Arial" w:hAnsi="Arial" w:cs="Arial"/>
          <w:b/>
          <w:sz w:val="24"/>
          <w:szCs w:val="24"/>
          <w:lang w:val="de-DE" w:eastAsia="zh-CN"/>
        </w:rPr>
        <w:tab/>
      </w:r>
      <w:r>
        <w:rPr>
          <w:rFonts w:ascii="Arial" w:hAnsi="Arial" w:cs="Arial" w:hint="eastAsia"/>
          <w:b/>
          <w:sz w:val="24"/>
          <w:szCs w:val="24"/>
          <w:lang w:val="de-DE" w:eastAsia="zh-CN"/>
        </w:rPr>
        <w:t>TCL</w:t>
      </w:r>
    </w:p>
    <w:p w14:paraId="251A9E1D" w14:textId="77777777" w:rsidR="00BD507F" w:rsidRDefault="00000000">
      <w:pPr>
        <w:widowControl w:val="0"/>
        <w:tabs>
          <w:tab w:val="left" w:pos="1701"/>
          <w:tab w:val="right" w:pos="9923"/>
        </w:tabs>
        <w:spacing w:before="120" w:after="0"/>
        <w:rPr>
          <w:rFonts w:ascii="Calibri" w:hAnsi="Calibri" w:cs="Arial"/>
          <w:b/>
          <w:sz w:val="24"/>
          <w:szCs w:val="24"/>
          <w:lang w:val="en-US" w:eastAsia="zh-CN"/>
        </w:rPr>
      </w:pPr>
      <w:r>
        <w:rPr>
          <w:rFonts w:ascii="Arial" w:hAnsi="Arial" w:cs="Arial"/>
          <w:b/>
          <w:sz w:val="24"/>
          <w:szCs w:val="24"/>
          <w:lang w:val="de-DE" w:eastAsia="zh-CN"/>
        </w:rPr>
        <w:t>Title:</w:t>
      </w:r>
      <w:r>
        <w:rPr>
          <w:rFonts w:ascii="Arial" w:hAnsi="Arial" w:cs="Arial"/>
          <w:b/>
          <w:sz w:val="24"/>
          <w:szCs w:val="24"/>
          <w:lang w:val="de-DE" w:eastAsia="zh-CN"/>
        </w:rPr>
        <w:tab/>
        <w:t>Considerations</w:t>
      </w:r>
      <w:r>
        <w:rPr>
          <w:rFonts w:ascii="Arial" w:hAnsi="Arial" w:cs="Arial" w:hint="eastAsia"/>
          <w:b/>
          <w:sz w:val="24"/>
          <w:szCs w:val="24"/>
          <w:lang w:val="de-DE" w:eastAsia="zh-CN"/>
        </w:rPr>
        <w:t xml:space="preserve"> on 6GR </w:t>
      </w:r>
      <w:r>
        <w:rPr>
          <w:rFonts w:ascii="Arial" w:hAnsi="Arial" w:cs="Arial" w:hint="eastAsia"/>
          <w:b/>
          <w:sz w:val="24"/>
          <w:szCs w:val="24"/>
          <w:lang w:val="en-US" w:eastAsia="zh-CN"/>
        </w:rPr>
        <w:t>QoS</w:t>
      </w:r>
    </w:p>
    <w:p w14:paraId="0930911C" w14:textId="77777777" w:rsidR="00BD507F" w:rsidRDefault="00000000">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Document for:</w:t>
      </w:r>
      <w:r>
        <w:rPr>
          <w:rFonts w:ascii="Arial" w:hAnsi="Arial" w:cs="Arial"/>
          <w:b/>
          <w:sz w:val="24"/>
          <w:szCs w:val="24"/>
          <w:lang w:val="de-DE" w:eastAsia="zh-CN"/>
        </w:rPr>
        <w:tab/>
        <w:t>Discussion and Decision</w:t>
      </w:r>
    </w:p>
    <w:bookmarkEnd w:id="1"/>
    <w:bookmarkEnd w:id="3"/>
    <w:p w14:paraId="06C487B4" w14:textId="77777777" w:rsidR="00BD507F" w:rsidRDefault="00000000">
      <w:pPr>
        <w:pStyle w:val="1"/>
        <w:ind w:left="0" w:firstLine="0"/>
      </w:pPr>
      <w:r>
        <w:t>1</w:t>
      </w:r>
      <w:r>
        <w:tab/>
        <w:t>Introduction</w:t>
      </w:r>
      <w:bookmarkEnd w:id="2"/>
    </w:p>
    <w:p w14:paraId="56D7C0C9" w14:textId="216B4A43" w:rsidR="00BD507F" w:rsidRDefault="00000000">
      <w:pPr>
        <w:pStyle w:val="a6"/>
        <w:spacing w:before="120"/>
        <w:rPr>
          <w:lang w:val="en-US"/>
        </w:rPr>
      </w:pPr>
      <w:bookmarkStart w:id="4" w:name="_Hlk209729403"/>
      <w:bookmarkStart w:id="5" w:name="_Hlk209730593"/>
      <w:bookmarkStart w:id="6" w:name="_Ref178064866"/>
      <w:r>
        <w:t xml:space="preserve">At the </w:t>
      </w:r>
      <w:r>
        <w:rPr>
          <w:rFonts w:hint="eastAsia"/>
          <w:lang w:val="en-US"/>
        </w:rPr>
        <w:t xml:space="preserve">last </w:t>
      </w:r>
      <w:r>
        <w:t>RAN</w:t>
      </w:r>
      <w:r>
        <w:rPr>
          <w:rFonts w:hint="eastAsia"/>
          <w:lang w:val="en-US"/>
        </w:rPr>
        <w:t>2</w:t>
      </w:r>
      <w:r>
        <w:t xml:space="preserve"> #1</w:t>
      </w:r>
      <w:r>
        <w:rPr>
          <w:rFonts w:hint="eastAsia"/>
          <w:lang w:val="en-US"/>
        </w:rPr>
        <w:t>31bis</w:t>
      </w:r>
      <w:r>
        <w:t xml:space="preserve"> meeting,</w:t>
      </w:r>
      <w:r>
        <w:rPr>
          <w:rFonts w:hint="eastAsia"/>
          <w:lang w:val="en-US"/>
        </w:rPr>
        <w:t xml:space="preserve"> the following agreements </w:t>
      </w:r>
      <w:r w:rsidR="00352F9B">
        <w:rPr>
          <w:lang w:val="en-US"/>
        </w:rPr>
        <w:t xml:space="preserve">were achieved </w:t>
      </w:r>
      <w:r>
        <w:rPr>
          <w:rFonts w:hint="eastAsia"/>
          <w:lang w:val="en-US"/>
        </w:rPr>
        <w:t>on UP</w:t>
      </w:r>
      <w:r>
        <w:t xml:space="preserve">. </w:t>
      </w:r>
      <w:bookmarkEnd w:id="4"/>
    </w:p>
    <w:tbl>
      <w:tblPr>
        <w:tblStyle w:val="aff3"/>
        <w:tblW w:w="0" w:type="auto"/>
        <w:tblLook w:val="04A0" w:firstRow="1" w:lastRow="0" w:firstColumn="1" w:lastColumn="0" w:noHBand="0" w:noVBand="1"/>
      </w:tblPr>
      <w:tblGrid>
        <w:gridCol w:w="9628"/>
      </w:tblGrid>
      <w:tr w:rsidR="00BD507F" w14:paraId="38690FF9" w14:textId="77777777">
        <w:tc>
          <w:tcPr>
            <w:tcW w:w="9854" w:type="dxa"/>
          </w:tcPr>
          <w:p w14:paraId="09D2977D" w14:textId="77777777" w:rsidR="00BD507F" w:rsidRDefault="00000000">
            <w:pPr>
              <w:pStyle w:val="a6"/>
              <w:spacing w:before="120"/>
              <w:rPr>
                <w:b/>
                <w:bCs/>
              </w:rPr>
            </w:pPr>
            <w:r>
              <w:rPr>
                <w:rFonts w:hint="eastAsia"/>
                <w:b/>
                <w:bCs/>
              </w:rPr>
              <w:t>Agreements on UP</w:t>
            </w:r>
          </w:p>
          <w:p w14:paraId="2A6AB732" w14:textId="77777777" w:rsidR="00BD507F" w:rsidRPr="00352F9B" w:rsidRDefault="00000000">
            <w:pPr>
              <w:pStyle w:val="a6"/>
              <w:spacing w:before="120"/>
              <w:rPr>
                <w:rFonts w:ascii="Times New Roman" w:hAnsi="Times New Roman"/>
                <w:sz w:val="20"/>
                <w:szCs w:val="20"/>
              </w:rPr>
            </w:pPr>
            <w:r w:rsidRPr="00352F9B">
              <w:rPr>
                <w:rFonts w:ascii="Times New Roman" w:hAnsi="Times New Roman"/>
                <w:sz w:val="20"/>
                <w:szCs w:val="20"/>
              </w:rPr>
              <w:t>1. 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2F55C63F" w14:textId="77777777" w:rsidR="00BD507F" w:rsidRPr="00352F9B" w:rsidRDefault="00000000">
            <w:pPr>
              <w:pStyle w:val="a6"/>
              <w:spacing w:before="120"/>
              <w:rPr>
                <w:rFonts w:ascii="Times New Roman" w:hAnsi="Times New Roman"/>
                <w:sz w:val="20"/>
                <w:szCs w:val="20"/>
              </w:rPr>
            </w:pPr>
            <w:r w:rsidRPr="00352F9B">
              <w:rPr>
                <w:rFonts w:ascii="Times New Roman" w:hAnsi="Times New Roman"/>
                <w:sz w:val="20"/>
                <w:szCs w:val="20"/>
              </w:rPr>
              <w:t>2. UP design should aim to be hardware-processing friendly while keeping memory requirements low and minimize data movements across protocol layer.  </w:t>
            </w:r>
          </w:p>
          <w:p w14:paraId="2DE1055F" w14:textId="77777777" w:rsidR="00BD507F" w:rsidRPr="00352F9B" w:rsidRDefault="00000000">
            <w:pPr>
              <w:pStyle w:val="a6"/>
              <w:spacing w:before="120"/>
              <w:rPr>
                <w:rFonts w:ascii="Times New Roman" w:hAnsi="Times New Roman"/>
                <w:sz w:val="20"/>
                <w:szCs w:val="20"/>
              </w:rPr>
            </w:pPr>
            <w:r w:rsidRPr="00352F9B">
              <w:rPr>
                <w:rFonts w:ascii="Times New Roman" w:hAnsi="Times New Roman"/>
                <w:sz w:val="20"/>
                <w:szCs w:val="20"/>
              </w:rPr>
              <w:t xml:space="preserve">3. 6G user plane should aim to reduce the radio and end-to-end latency for general services (including </w:t>
            </w:r>
            <w:proofErr w:type="spellStart"/>
            <w:r w:rsidRPr="00352F9B">
              <w:rPr>
                <w:rFonts w:ascii="Times New Roman" w:hAnsi="Times New Roman"/>
                <w:sz w:val="20"/>
                <w:szCs w:val="20"/>
              </w:rPr>
              <w:t>eMBB</w:t>
            </w:r>
            <w:proofErr w:type="spellEnd"/>
            <w:r w:rsidRPr="00352F9B">
              <w:rPr>
                <w:rFonts w:ascii="Times New Roman" w:hAnsi="Times New Roman"/>
                <w:sz w:val="20"/>
                <w:szCs w:val="20"/>
              </w:rPr>
              <w:t>)   </w:t>
            </w:r>
          </w:p>
          <w:p w14:paraId="61901FEF" w14:textId="77777777" w:rsidR="00BD507F" w:rsidRPr="00352F9B" w:rsidRDefault="00000000">
            <w:pPr>
              <w:pStyle w:val="a6"/>
              <w:spacing w:before="120"/>
              <w:rPr>
                <w:rFonts w:ascii="Times New Roman" w:hAnsi="Times New Roman"/>
                <w:sz w:val="20"/>
                <w:szCs w:val="20"/>
              </w:rPr>
            </w:pPr>
            <w:r w:rsidRPr="00352F9B">
              <w:rPr>
                <w:rFonts w:ascii="Times New Roman" w:hAnsi="Times New Roman"/>
                <w:sz w:val="20"/>
                <w:szCs w:val="20"/>
              </w:rPr>
              <w:t>4. Study potential benefits and standardized mechanisms for applications/service-awareness in the RAN (e.g. immersive communications, AI mobile traffic).  Understand the issues and shortcoming with the current NR QoS.   Aim to look at a general framework.    </w:t>
            </w:r>
          </w:p>
          <w:p w14:paraId="65EF0600" w14:textId="77777777" w:rsidR="00BD507F" w:rsidRPr="00352F9B" w:rsidRDefault="00000000">
            <w:pPr>
              <w:pStyle w:val="a6"/>
              <w:spacing w:before="120"/>
              <w:rPr>
                <w:rFonts w:ascii="Times New Roman" w:hAnsi="Times New Roman"/>
                <w:sz w:val="20"/>
                <w:szCs w:val="20"/>
              </w:rPr>
            </w:pPr>
            <w:r w:rsidRPr="00352F9B">
              <w:rPr>
                <w:rFonts w:ascii="Times New Roman" w:hAnsi="Times New Roman"/>
                <w:sz w:val="20"/>
                <w:szCs w:val="20"/>
              </w:rPr>
              <w:t xml:space="preserve">5. Support at least the following scheduling schemes: dynamic grant and configured grant.  Further study configured grant. </w:t>
            </w:r>
          </w:p>
          <w:p w14:paraId="07470C8A" w14:textId="77777777" w:rsidR="00BD507F" w:rsidRPr="00352F9B" w:rsidRDefault="00000000">
            <w:pPr>
              <w:pStyle w:val="a6"/>
              <w:spacing w:before="120"/>
              <w:rPr>
                <w:rFonts w:ascii="Times New Roman" w:hAnsi="Times New Roman"/>
                <w:sz w:val="20"/>
                <w:szCs w:val="20"/>
              </w:rPr>
            </w:pPr>
            <w:r w:rsidRPr="00352F9B">
              <w:rPr>
                <w:rFonts w:ascii="Times New Roman" w:hAnsi="Times New Roman"/>
                <w:sz w:val="20"/>
                <w:szCs w:val="20"/>
              </w:rPr>
              <w:t xml:space="preserve">6. Study need for scheduling enhancements to address the SR/BSR/DSR latency </w:t>
            </w:r>
          </w:p>
          <w:p w14:paraId="76529498" w14:textId="77777777" w:rsidR="00BD507F" w:rsidRDefault="00000000">
            <w:pPr>
              <w:pStyle w:val="a6"/>
              <w:spacing w:before="120"/>
            </w:pPr>
            <w:r w:rsidRPr="00352F9B">
              <w:rPr>
                <w:rFonts w:ascii="Times New Roman" w:hAnsi="Times New Roman"/>
                <w:sz w:val="20"/>
                <w:szCs w:val="20"/>
              </w:rPr>
              <w:t>7. Study how to improve L2 ARQ latency/efficiency in 6GR based on tight coordination with HARQ.  Study should identify enhancements needed for HARQ and L2 ARQ.</w:t>
            </w:r>
          </w:p>
        </w:tc>
      </w:tr>
    </w:tbl>
    <w:p w14:paraId="6553FFEB" w14:textId="7934D171" w:rsidR="00BD507F" w:rsidRDefault="00000000">
      <w:pPr>
        <w:pStyle w:val="a6"/>
        <w:spacing w:before="120"/>
        <w:rPr>
          <w:lang w:val="en-US"/>
        </w:rPr>
      </w:pPr>
      <w:r>
        <w:t>In this contribution, we</w:t>
      </w:r>
      <w:r>
        <w:rPr>
          <w:rFonts w:hint="eastAsia"/>
        </w:rPr>
        <w:t xml:space="preserve"> will show our views on </w:t>
      </w:r>
      <w:r>
        <w:rPr>
          <w:rFonts w:hint="eastAsia"/>
          <w:lang w:val="en-US"/>
        </w:rPr>
        <w:t>6G QoS.</w:t>
      </w:r>
    </w:p>
    <w:bookmarkEnd w:id="5"/>
    <w:p w14:paraId="128B3F85" w14:textId="77777777" w:rsidR="00BD507F" w:rsidRDefault="00000000">
      <w:pPr>
        <w:pStyle w:val="1"/>
        <w:rPr>
          <w:rFonts w:ascii="Times New Roman" w:hAnsi="Times New Roman"/>
          <w:lang w:val="en-US"/>
        </w:rPr>
      </w:pPr>
      <w:r>
        <w:rPr>
          <w:rFonts w:hint="eastAsia"/>
          <w:lang w:val="en-US" w:eastAsia="zh-CN"/>
        </w:rPr>
        <w:t>2</w:t>
      </w:r>
      <w:r>
        <w:rPr>
          <w:lang w:val="en-US"/>
        </w:rPr>
        <w:t>. Discussion</w:t>
      </w:r>
    </w:p>
    <w:bookmarkEnd w:id="6"/>
    <w:p w14:paraId="2C4985A2" w14:textId="77777777" w:rsidR="00BD507F" w:rsidRDefault="00000000">
      <w:pPr>
        <w:pStyle w:val="2"/>
        <w:rPr>
          <w:lang w:val="en-US" w:eastAsia="zh-CN"/>
        </w:rPr>
      </w:pPr>
      <w:r>
        <w:t>2.</w:t>
      </w:r>
      <w:r>
        <w:rPr>
          <w:rFonts w:hint="eastAsia"/>
          <w:lang w:eastAsia="zh-CN"/>
        </w:rPr>
        <w:t>1</w:t>
      </w:r>
      <w:r>
        <w:rPr>
          <w:rFonts w:hint="eastAsia"/>
          <w:lang w:val="en-US" w:eastAsia="zh-CN"/>
        </w:rPr>
        <w:t xml:space="preserve"> </w:t>
      </w:r>
      <w:r>
        <w:rPr>
          <w:rFonts w:eastAsiaTheme="minorEastAsia" w:hint="eastAsia"/>
          <w:lang w:val="en-US" w:eastAsia="zh-CN"/>
        </w:rPr>
        <w:t>6G AI services and token communication</w:t>
      </w:r>
    </w:p>
    <w:p w14:paraId="2D9CBEC4" w14:textId="7998D0D6" w:rsidR="00BD507F" w:rsidRDefault="00000000">
      <w:pPr>
        <w:pStyle w:val="a6"/>
        <w:spacing w:before="120" w:line="360" w:lineRule="auto"/>
      </w:pPr>
      <w:bookmarkStart w:id="7" w:name="OLE_LINK4"/>
      <w:r>
        <w:t>According to SA1 TR 22.870</w:t>
      </w:r>
      <w:r>
        <w:rPr>
          <w:rFonts w:hint="eastAsia"/>
        </w:rPr>
        <w:t xml:space="preserve"> [1]</w:t>
      </w:r>
      <w:r>
        <w:t xml:space="preserve">, the 6G system </w:t>
      </w:r>
      <w:r>
        <w:rPr>
          <w:rFonts w:hint="eastAsia"/>
        </w:rPr>
        <w:t>has identified</w:t>
      </w:r>
      <w:r>
        <w:t xml:space="preserve"> a variety of AI-driven service use cases, such as AI agent communication services, AI training and inference services, </w:t>
      </w:r>
      <w:r>
        <w:rPr>
          <w:rFonts w:hint="eastAsia"/>
        </w:rPr>
        <w:t>etc</w:t>
      </w:r>
      <w:r>
        <w:t>.</w:t>
      </w:r>
      <w:r>
        <w:rPr>
          <w:rFonts w:hint="eastAsia"/>
        </w:rPr>
        <w:t xml:space="preserve"> Obviously</w:t>
      </w:r>
      <w:r>
        <w:rPr>
          <w:rFonts w:hint="eastAsia"/>
          <w:lang w:val="en-US"/>
        </w:rPr>
        <w:t xml:space="preserve">, </w:t>
      </w:r>
      <w:r>
        <w:t>AI-driven services are recognized as one of the key new service types in 6G</w:t>
      </w:r>
      <w:r>
        <w:rPr>
          <w:rFonts w:hint="eastAsia"/>
          <w:lang w:val="en-US"/>
        </w:rPr>
        <w:t xml:space="preserve">, with </w:t>
      </w:r>
      <w:r>
        <w:t>the following features:</w:t>
      </w:r>
    </w:p>
    <w:p w14:paraId="5C8D9929" w14:textId="77777777" w:rsidR="005E14DC" w:rsidRPr="005E14DC" w:rsidRDefault="00000000" w:rsidP="005E14DC">
      <w:pPr>
        <w:pStyle w:val="a6"/>
        <w:numPr>
          <w:ilvl w:val="0"/>
          <w:numId w:val="13"/>
        </w:numPr>
        <w:spacing w:before="120" w:line="360" w:lineRule="auto"/>
        <w:rPr>
          <w:lang w:val="en-US"/>
        </w:rPr>
      </w:pPr>
      <w:r w:rsidRPr="005E14DC">
        <w:rPr>
          <w:b/>
          <w:bCs/>
        </w:rPr>
        <w:t>Large and heterogeneous data volume:</w:t>
      </w:r>
      <w:r w:rsidRPr="005E14DC">
        <w:rPr>
          <w:rFonts w:hint="eastAsia"/>
          <w:lang w:val="en-US"/>
        </w:rPr>
        <w:t xml:space="preserve"> </w:t>
      </w:r>
      <w:r w:rsidR="005E14DC" w:rsidRPr="005E14DC">
        <w:rPr>
          <w:lang w:val="en-US"/>
        </w:rPr>
        <w:t>AI-driven services generate and consume large-scale and semantically structured multimodal data sets, often including sensing information, positioning data, and user-context knowledge, for perception and reasoning tasks. These services require efficient data acquisition, distribution, and processing capabilities to support large-scale model training and inference across multiple domains.</w:t>
      </w:r>
    </w:p>
    <w:p w14:paraId="51F48C06" w14:textId="3F39B334" w:rsidR="005E14DC" w:rsidRPr="005E14DC" w:rsidRDefault="00000000" w:rsidP="005E14DC">
      <w:pPr>
        <w:pStyle w:val="a6"/>
        <w:numPr>
          <w:ilvl w:val="0"/>
          <w:numId w:val="13"/>
        </w:numPr>
        <w:spacing w:before="120" w:line="360" w:lineRule="auto"/>
        <w:rPr>
          <w:lang w:val="en-US"/>
        </w:rPr>
      </w:pPr>
      <w:r w:rsidRPr="005E14DC">
        <w:rPr>
          <w:b/>
          <w:bCs/>
        </w:rPr>
        <w:lastRenderedPageBreak/>
        <w:t>High dynamics and real-time variability</w:t>
      </w:r>
      <w:r>
        <w:t>:</w:t>
      </w:r>
      <w:r w:rsidRPr="005E14DC">
        <w:rPr>
          <w:rFonts w:hint="eastAsia"/>
          <w:lang w:val="en-US"/>
        </w:rPr>
        <w:t xml:space="preserve"> </w:t>
      </w:r>
      <w:r w:rsidR="005E14DC" w:rsidRPr="005E14DC">
        <w:rPr>
          <w:lang w:val="en-US"/>
        </w:rPr>
        <w:t>AI tasks fluctuate rapidly depending on model phase, task priority, and computational state. Such rapid variations make AI-driven services far more dynamic than conventional traffic to maintain real-time responsiveness and service continuity under variable inference or communication loads.</w:t>
      </w:r>
    </w:p>
    <w:p w14:paraId="216C502D" w14:textId="6D47763E" w:rsidR="005E14DC" w:rsidRPr="005E14DC" w:rsidRDefault="00000000" w:rsidP="005E14DC">
      <w:pPr>
        <w:pStyle w:val="a6"/>
        <w:numPr>
          <w:ilvl w:val="0"/>
          <w:numId w:val="13"/>
        </w:numPr>
        <w:spacing w:before="120" w:line="360" w:lineRule="auto"/>
        <w:rPr>
          <w:lang w:val="en-US"/>
        </w:rPr>
      </w:pPr>
      <w:r w:rsidRPr="005E14DC">
        <w:rPr>
          <w:b/>
          <w:bCs/>
        </w:rPr>
        <w:t>Multi-node collaboration:</w:t>
      </w:r>
      <w:r w:rsidRPr="005E14DC">
        <w:rPr>
          <w:rFonts w:hint="eastAsia"/>
          <w:lang w:val="en-US"/>
        </w:rPr>
        <w:t xml:space="preserve"> </w:t>
      </w:r>
      <w:r w:rsidR="005E14DC" w:rsidRPr="005E14DC">
        <w:rPr>
          <w:lang w:val="en-US"/>
        </w:rPr>
        <w:t>AI functions are expected to be distributed among devices, edge nodes, and network servers, enabling collaborative inference, model aggregation, and federated learning. This distributed and cooperative operation introduces new challenges for synchronization, coordination, ultra-low-latency, and context-aware communication between nodes in task-oriented collaboration.</w:t>
      </w:r>
    </w:p>
    <w:p w14:paraId="3BCD90B3" w14:textId="4C426F2B" w:rsidR="00BD507F" w:rsidRPr="00AD599F" w:rsidRDefault="00000000" w:rsidP="005E14DC">
      <w:pPr>
        <w:pStyle w:val="a6"/>
        <w:numPr>
          <w:ilvl w:val="0"/>
          <w:numId w:val="13"/>
        </w:numPr>
        <w:spacing w:before="120" w:line="360" w:lineRule="auto"/>
        <w:rPr>
          <w:rFonts w:hint="eastAsia"/>
          <w:lang w:val="en-US"/>
        </w:rPr>
      </w:pPr>
      <w:r w:rsidRPr="005E14DC">
        <w:rPr>
          <w:b/>
          <w:bCs/>
        </w:rPr>
        <w:t>Dependence on computing resources</w:t>
      </w:r>
      <w:r w:rsidRPr="005E14DC">
        <w:rPr>
          <w:rFonts w:hint="eastAsia"/>
          <w:lang w:val="en-US"/>
        </w:rPr>
        <w:t xml:space="preserve">: </w:t>
      </w:r>
      <w:r w:rsidR="005E14DC" w:rsidRPr="005E14DC">
        <w:rPr>
          <w:lang w:val="en-US"/>
        </w:rPr>
        <w:t>The performance of AI-</w:t>
      </w:r>
      <w:r w:rsidR="005E14DC" w:rsidRPr="005E14DC">
        <w:rPr>
          <w:rFonts w:hint="eastAsia"/>
          <w:lang w:val="en-US"/>
        </w:rPr>
        <w:t>driven</w:t>
      </w:r>
      <w:r w:rsidR="005E14DC" w:rsidRPr="005E14DC">
        <w:rPr>
          <w:lang w:val="en-US"/>
        </w:rPr>
        <w:t xml:space="preserve"> services depends not only on communication quality but also on the availability, latency, and allocation of computing resources across the network. The 6G system is expected to coordinate and optimize both communication and computing capabilities, supporting flexible task scheduling and offloading among UEs, </w:t>
      </w:r>
      <w:proofErr w:type="spellStart"/>
      <w:r w:rsidR="005E14DC" w:rsidRPr="005E14DC">
        <w:rPr>
          <w:lang w:val="en-US"/>
        </w:rPr>
        <w:t>gNBs</w:t>
      </w:r>
      <w:proofErr w:type="spellEnd"/>
      <w:r w:rsidR="005E14DC" w:rsidRPr="005E14DC">
        <w:rPr>
          <w:lang w:val="en-US"/>
        </w:rPr>
        <w:t>, edge computing servers, and core network entities to meet stringent latency, accuracy, and energy-efficiency targets</w:t>
      </w:r>
      <w:r w:rsidR="005E14DC">
        <w:rPr>
          <w:rFonts w:hint="eastAsia"/>
          <w:lang w:val="en-US"/>
        </w:rPr>
        <w:t>.</w:t>
      </w:r>
    </w:p>
    <w:p w14:paraId="53E7DCB9" w14:textId="7D634F51" w:rsidR="0032705F" w:rsidRDefault="0032705F">
      <w:pPr>
        <w:pStyle w:val="a6"/>
        <w:spacing w:before="120" w:line="360" w:lineRule="auto"/>
        <w:rPr>
          <w:rFonts w:hint="eastAsia"/>
        </w:rPr>
      </w:pPr>
      <w:r w:rsidRPr="0032705F">
        <w:t>With the rapid development of AI technologies, it is expected that interactions among AI models or AI agents will increasingly adopt token-based information exchange. For example, during a model inference service, an AI model does not need to output a complete sentence, image, or decision frame at once; instead, it generates results token by token, with each token representing the smallest semantic unit that the model can predict or exchange. Similarly, in collaborative AI-agent communication services, multiple agents interact by exchanging token sequences that encode context, intent, and reasoning states. In general, compared with conventional data packets that carry raw application data, each token encapsulates higher-level information such as an embedding vector, a semantic feature, or a partial inference result. Therefore, token-based communication provides several advantages for AI-driven services in 6GR.</w:t>
      </w:r>
    </w:p>
    <w:p w14:paraId="45879EFF" w14:textId="3E146446" w:rsidR="00AD599F" w:rsidRPr="00AD599F" w:rsidRDefault="00AD599F" w:rsidP="00AD599F">
      <w:pPr>
        <w:pStyle w:val="a6"/>
        <w:numPr>
          <w:ilvl w:val="0"/>
          <w:numId w:val="13"/>
        </w:numPr>
        <w:spacing w:before="120" w:line="360" w:lineRule="auto"/>
        <w:rPr>
          <w:lang w:val="en-US"/>
        </w:rPr>
      </w:pPr>
      <w:r w:rsidRPr="00AD599F">
        <w:rPr>
          <w:b/>
          <w:bCs/>
        </w:rPr>
        <w:t>Enhanced</w:t>
      </w:r>
      <w:r>
        <w:rPr>
          <w:rFonts w:hint="eastAsia"/>
          <w:b/>
          <w:bCs/>
        </w:rPr>
        <w:t xml:space="preserve"> </w:t>
      </w:r>
      <w:r w:rsidRPr="00AD599F">
        <w:rPr>
          <w:b/>
          <w:bCs/>
          <w:lang w:val="en-US"/>
        </w:rPr>
        <w:t>Resource Utilization</w:t>
      </w:r>
      <w:r w:rsidRPr="00AD599F">
        <w:rPr>
          <w:lang w:val="en-US"/>
        </w:rPr>
        <w:br/>
        <w:t xml:space="preserve">Token-based transmission encodes and transmits only meaningful semantic information, </w:t>
      </w:r>
      <w:r w:rsidRPr="00AD599F">
        <w:t>encoding and transmitting only meaningful information while avoiding redundant bit-level data transfer in conventional systems</w:t>
      </w:r>
      <w:r w:rsidRPr="00AD599F">
        <w:rPr>
          <w:lang w:val="en-US"/>
        </w:rPr>
        <w:t>.</w:t>
      </w:r>
      <w:r>
        <w:rPr>
          <w:rFonts w:hint="eastAsia"/>
          <w:lang w:val="en-US"/>
        </w:rPr>
        <w:t xml:space="preserve"> </w:t>
      </w:r>
      <w:r w:rsidRPr="00AD599F">
        <w:t>Since tokens have variable lengths and can be dynamically adjusted according to context,</w:t>
      </w:r>
      <w:r w:rsidRPr="00AD599F">
        <w:rPr>
          <w:lang w:val="en-US"/>
        </w:rPr>
        <w:t xml:space="preserve"> the network can flexibly allocate bandwidth and time-frequency resources, improving </w:t>
      </w:r>
      <w:r>
        <w:rPr>
          <w:rFonts w:hint="eastAsia"/>
          <w:lang w:val="en-US"/>
        </w:rPr>
        <w:t>resource</w:t>
      </w:r>
      <w:r w:rsidRPr="00AD599F">
        <w:rPr>
          <w:lang w:val="en-US"/>
        </w:rPr>
        <w:t xml:space="preserve"> utilization.</w:t>
      </w:r>
    </w:p>
    <w:p w14:paraId="1AD9B43E" w14:textId="797CF4C4" w:rsidR="00AD599F" w:rsidRDefault="00AD599F" w:rsidP="00AD599F">
      <w:pPr>
        <w:pStyle w:val="a6"/>
        <w:numPr>
          <w:ilvl w:val="0"/>
          <w:numId w:val="13"/>
        </w:numPr>
        <w:spacing w:before="120" w:line="360" w:lineRule="auto"/>
        <w:rPr>
          <w:lang w:val="en-US"/>
        </w:rPr>
      </w:pPr>
      <w:r w:rsidRPr="00AD599F">
        <w:rPr>
          <w:b/>
          <w:bCs/>
          <w:lang w:val="en-US"/>
        </w:rPr>
        <w:t xml:space="preserve">Finer-granularity QoS </w:t>
      </w:r>
      <w:r w:rsidR="0009573C">
        <w:rPr>
          <w:rFonts w:hint="eastAsia"/>
          <w:b/>
          <w:bCs/>
          <w:lang w:val="en-US"/>
        </w:rPr>
        <w:t>Management</w:t>
      </w:r>
      <w:r w:rsidRPr="00AD599F">
        <w:rPr>
          <w:lang w:val="en-US"/>
        </w:rPr>
        <w:br/>
      </w:r>
      <w:r w:rsidRPr="00AD599F">
        <w:t>Conventional QoS mechanisms are defined per data flow or service type, whereas token-based transmission enables QoS management at the granularity of semantic units.</w:t>
      </w:r>
      <w:r>
        <w:rPr>
          <w:rFonts w:hint="eastAsia"/>
        </w:rPr>
        <w:t xml:space="preserve"> </w:t>
      </w:r>
      <w:r w:rsidRPr="00AD599F">
        <w:t>Unlike flow-based QoS, token-based transmission enables management at the semantic-unit level.</w:t>
      </w:r>
      <w:r>
        <w:rPr>
          <w:rFonts w:hint="eastAsia"/>
        </w:rPr>
        <w:t xml:space="preserve"> </w:t>
      </w:r>
      <w:r w:rsidRPr="00AD599F">
        <w:t>The network can assign different priority levels and latency budgets according to token types (e.g., prompt tokens, intermediate inference tokens, result tokens), enabling task-level and even semantic-level QoS control. This allows more precise and adaptive scheduling for AI-native communication tasks</w:t>
      </w:r>
      <w:r>
        <w:rPr>
          <w:rFonts w:hint="eastAsia"/>
        </w:rPr>
        <w:t>.</w:t>
      </w:r>
    </w:p>
    <w:p w14:paraId="29A01E55" w14:textId="520FFF34" w:rsidR="00AD599F" w:rsidRPr="00AD599F" w:rsidRDefault="00AD599F" w:rsidP="00AD599F">
      <w:pPr>
        <w:pStyle w:val="a6"/>
        <w:numPr>
          <w:ilvl w:val="0"/>
          <w:numId w:val="13"/>
        </w:numPr>
        <w:spacing w:before="120" w:line="360" w:lineRule="auto"/>
        <w:rPr>
          <w:lang w:val="en-US"/>
        </w:rPr>
      </w:pPr>
      <w:r w:rsidRPr="00AD599F">
        <w:rPr>
          <w:b/>
          <w:bCs/>
          <w:lang w:val="en-US"/>
        </w:rPr>
        <w:t>Higher Transmission Efficiency</w:t>
      </w:r>
      <w:r w:rsidRPr="00AD599F">
        <w:rPr>
          <w:b/>
          <w:bCs/>
          <w:lang w:val="en-US"/>
        </w:rPr>
        <w:br/>
      </w:r>
      <w:r w:rsidRPr="00AD599F">
        <w:t>Each token carries high-level semantic information with self-descriptive and highly compressed properties, which greatly reduces the amount of transmitted data compared with bit-by-bit transmission.</w:t>
      </w:r>
      <w:r>
        <w:rPr>
          <w:rFonts w:hint="eastAsia"/>
        </w:rPr>
        <w:t xml:space="preserve"> </w:t>
      </w:r>
      <w:r w:rsidRPr="00AD599F">
        <w:t xml:space="preserve">In AI-native communication, token-based transmission eliminates redundant lower-layer </w:t>
      </w:r>
      <w:proofErr w:type="spellStart"/>
      <w:r w:rsidRPr="00AD599F">
        <w:t>signaling</w:t>
      </w:r>
      <w:proofErr w:type="spellEnd"/>
      <w:r w:rsidRPr="00AD599F">
        <w:t xml:space="preserve"> overhead and decoding procedures, resulting in shorter end-to-end latency, faster inference and interaction response, and overall improved transmission efficiency.</w:t>
      </w:r>
    </w:p>
    <w:p w14:paraId="47DBFE38" w14:textId="77777777" w:rsidR="00BD507F" w:rsidRDefault="00000000">
      <w:pPr>
        <w:pStyle w:val="a6"/>
        <w:spacing w:before="120" w:line="360" w:lineRule="auto"/>
      </w:pPr>
      <w:r>
        <w:lastRenderedPageBreak/>
        <w:t>Therefore, it can be observed that, whether for single</w:t>
      </w:r>
      <w:r>
        <w:rPr>
          <w:rFonts w:hint="eastAsia"/>
          <w:lang w:val="en-US"/>
        </w:rPr>
        <w:t xml:space="preserve"> LLM </w:t>
      </w:r>
      <w:r>
        <w:t>model operation or multi-agent collaboration, the token acts as the “semantic bit” and serves as a fundamental unit for enabling AI-native communication in 6G.</w:t>
      </w:r>
    </w:p>
    <w:p w14:paraId="438C510E" w14:textId="31936A06" w:rsidR="0032705F" w:rsidRDefault="0032705F" w:rsidP="0032705F">
      <w:pPr>
        <w:pStyle w:val="Observation"/>
        <w:spacing w:before="120"/>
        <w:ind w:left="1304" w:hanging="1304"/>
      </w:pPr>
      <w:r w:rsidRPr="0032705F">
        <w:t>AI-driven services are emerging as a key new service type in 6G, featuring large and heterogeneous data volume, high dynamics, multi-node collaboration, and strong dependence on computing resources.</w:t>
      </w:r>
    </w:p>
    <w:p w14:paraId="40689CBE" w14:textId="5EBD6BF1" w:rsidR="00000CEF" w:rsidRDefault="00000CEF" w:rsidP="0032705F">
      <w:pPr>
        <w:pStyle w:val="Observation"/>
        <w:spacing w:before="120"/>
        <w:ind w:left="1304" w:hanging="1304"/>
      </w:pPr>
      <w:r w:rsidRPr="00000CEF">
        <w:t xml:space="preserve">In large AI models and </w:t>
      </w:r>
      <w:r>
        <w:rPr>
          <w:rFonts w:hint="eastAsia"/>
          <w:lang w:eastAsia="zh-CN"/>
        </w:rPr>
        <w:t>AI</w:t>
      </w:r>
      <w:r w:rsidRPr="00000CEF">
        <w:t xml:space="preserve"> </w:t>
      </w:r>
      <w:r>
        <w:t>agents</w:t>
      </w:r>
      <w:r w:rsidRPr="00000CEF">
        <w:t>, it is natural to adopt token-based communication, where information is exchanged in semantic units rather than raw data packets.</w:t>
      </w:r>
    </w:p>
    <w:bookmarkEnd w:id="7"/>
    <w:p w14:paraId="56796B07" w14:textId="65656CF2" w:rsidR="0032705F" w:rsidRPr="0032705F" w:rsidRDefault="0032705F" w:rsidP="00000CEF">
      <w:pPr>
        <w:pStyle w:val="Proposal"/>
        <w:spacing w:before="120"/>
        <w:rPr>
          <w:rFonts w:hint="eastAsia"/>
          <w:lang w:val="en-US"/>
        </w:rPr>
      </w:pPr>
      <w:r w:rsidRPr="0032705F">
        <w:rPr>
          <w:lang w:val="en-US"/>
        </w:rPr>
        <w:t xml:space="preserve">To support AI-native communication, 6G should consider token-based </w:t>
      </w:r>
      <w:r w:rsidR="00000CEF">
        <w:rPr>
          <w:lang w:val="en-US"/>
        </w:rPr>
        <w:t>communication</w:t>
      </w:r>
      <w:r w:rsidRPr="0032705F">
        <w:rPr>
          <w:lang w:val="en-US"/>
        </w:rPr>
        <w:t>, where each token serves as a semantic unit for AI model and agent interaction.</w:t>
      </w:r>
    </w:p>
    <w:p w14:paraId="4FB3EA45" w14:textId="77777777" w:rsidR="00BD507F" w:rsidRDefault="00000000" w:rsidP="0032705F">
      <w:pPr>
        <w:pStyle w:val="2"/>
        <w:ind w:left="0" w:firstLine="0"/>
        <w:rPr>
          <w:rFonts w:ascii="Times New Roman" w:hAnsi="Times New Roman"/>
          <w:lang w:eastAsia="zh-CN"/>
        </w:rPr>
      </w:pPr>
      <w:r>
        <w:t>2.</w:t>
      </w:r>
      <w:r>
        <w:rPr>
          <w:rFonts w:eastAsia="Malgun Gothic" w:hint="eastAsia"/>
          <w:lang w:eastAsia="ko-KR"/>
        </w:rPr>
        <w:t xml:space="preserve">2 </w:t>
      </w:r>
      <w:r>
        <w:rPr>
          <w:rFonts w:eastAsiaTheme="minorEastAsia" w:hint="eastAsia"/>
          <w:lang w:eastAsia="zh-CN"/>
        </w:rPr>
        <w:t xml:space="preserve">6G </w:t>
      </w:r>
      <w:r>
        <w:rPr>
          <w:rFonts w:eastAsiaTheme="minorEastAsia" w:hint="eastAsia"/>
          <w:lang w:val="en-US" w:eastAsia="zh-CN"/>
        </w:rPr>
        <w:t xml:space="preserve">dynamic </w:t>
      </w:r>
      <w:r>
        <w:rPr>
          <w:rFonts w:hint="eastAsia"/>
        </w:rPr>
        <w:t>QoS</w:t>
      </w:r>
      <w:r>
        <w:rPr>
          <w:rFonts w:eastAsiaTheme="minorEastAsia" w:hint="eastAsia"/>
          <w:lang w:val="en-US" w:eastAsia="zh-CN"/>
        </w:rPr>
        <w:t xml:space="preserve"> </w:t>
      </w:r>
      <w:r>
        <w:rPr>
          <w:rFonts w:eastAsiaTheme="minorEastAsia" w:hint="eastAsia"/>
          <w:lang w:eastAsia="zh-CN"/>
        </w:rPr>
        <w:t>mechanisms</w:t>
      </w:r>
    </w:p>
    <w:p w14:paraId="199D4989" w14:textId="40EDED32" w:rsidR="00BD507F" w:rsidRDefault="00000000">
      <w:pPr>
        <w:pStyle w:val="a6"/>
        <w:spacing w:before="120" w:line="360" w:lineRule="auto"/>
      </w:pPr>
      <w:r>
        <w:t xml:space="preserve">In the 5G NR system, the QoS mechanism defined by SA2 is designed in a static manner. In brief, the legacy QoS Flow establishment and modification are managed by the SMF, and the corresponding </w:t>
      </w:r>
      <w:proofErr w:type="spellStart"/>
      <w:r>
        <w:t>signaling</w:t>
      </w:r>
      <w:proofErr w:type="spellEnd"/>
      <w:r>
        <w:t xml:space="preserve"> procedures are mainly performed at the NG-level and NAS-level. This means that the QoS attributes are provisioned and controlled by the Core Network (CN) and provided to the </w:t>
      </w:r>
      <w:proofErr w:type="spellStart"/>
      <w:r>
        <w:t>gNB</w:t>
      </w:r>
      <w:proofErr w:type="spellEnd"/>
      <w:r>
        <w:t>/</w:t>
      </w:r>
      <w:r>
        <w:rPr>
          <w:rFonts w:hint="eastAsia"/>
        </w:rPr>
        <w:t>UE</w:t>
      </w:r>
      <w:r>
        <w:t xml:space="preserve"> via N2/NAS </w:t>
      </w:r>
      <w:proofErr w:type="spellStart"/>
      <w:r>
        <w:t>signaling</w:t>
      </w:r>
      <w:proofErr w:type="spellEnd"/>
      <w:r>
        <w:t xml:space="preserve">. The </w:t>
      </w:r>
      <w:proofErr w:type="spellStart"/>
      <w:r w:rsidR="005E14DC">
        <w:t>gNB</w:t>
      </w:r>
      <w:proofErr w:type="spellEnd"/>
      <w:r>
        <w:rPr>
          <w:rFonts w:hint="eastAsia"/>
        </w:rPr>
        <w:t xml:space="preserve"> </w:t>
      </w:r>
      <w:r>
        <w:t>executes QoS enforcement based on pre-configured mappings and scheduling rules, without dynamic adaptation capability. The main QoS attributes, such as 5QI, Packet Delay Budget (PDB), Packet Error Rate (PER), and Allocation and Retention Priority (ARP), remain unchanged during the lifetime of a PDU session. As a result, the granularity and responsiveness of QoS adaptation are limited. This static, CN-centric design is effective for conventional services but cannot meet the highly dynamic and time-varying requirements of AI-native services in 6G.</w:t>
      </w:r>
    </w:p>
    <w:p w14:paraId="5E60B03E" w14:textId="1444FBCF" w:rsidR="00BD507F" w:rsidRDefault="00000000">
      <w:pPr>
        <w:pStyle w:val="a6"/>
        <w:spacing w:before="120" w:line="360" w:lineRule="auto"/>
        <w:rPr>
          <w:lang w:val="en-US"/>
        </w:rPr>
      </w:pPr>
      <w:r>
        <w:t>In AI-native 6G services, computing support is also required. According to [</w:t>
      </w:r>
      <w:r w:rsidR="00352F9B">
        <w:rPr>
          <w:rFonts w:hint="eastAsia"/>
        </w:rPr>
        <w:t>2</w:t>
      </w:r>
      <w:r>
        <w:t xml:space="preserve">], the 6G network can provide computing support for AI model inference to </w:t>
      </w:r>
      <w:r>
        <w:rPr>
          <w:rFonts w:hint="eastAsia"/>
        </w:rPr>
        <w:t>6G UE</w:t>
      </w:r>
      <w:r>
        <w:t xml:space="preserve">s. In this case, the </w:t>
      </w:r>
      <w:r>
        <w:rPr>
          <w:rFonts w:hint="eastAsia"/>
        </w:rPr>
        <w:t>6G UE</w:t>
      </w:r>
      <w:r>
        <w:t xml:space="preserve"> may send a req</w:t>
      </w:r>
      <w:r>
        <w:rPr>
          <w:rFonts w:hint="eastAsia"/>
        </w:rPr>
        <w:t xml:space="preserve">6G </w:t>
      </w:r>
      <w:proofErr w:type="spellStart"/>
      <w:r>
        <w:rPr>
          <w:rFonts w:hint="eastAsia"/>
        </w:rPr>
        <w:t>UE</w:t>
      </w:r>
      <w:r>
        <w:t>st</w:t>
      </w:r>
      <w:proofErr w:type="spellEnd"/>
      <w:r>
        <w:t xml:space="preserve"> (together with prompts) to the 6G network and receive a response as a form of computing task offloading. The 6G network may offer computing support for the </w:t>
      </w:r>
      <w:r>
        <w:rPr>
          <w:rFonts w:hint="eastAsia"/>
        </w:rPr>
        <w:t>6G UE</w:t>
      </w:r>
      <w:r>
        <w:t xml:space="preserve"> by offloading the task to a CN node, trusted edge server, or remote application server within the 6G network. However, the computing load for an AI inference task depends on the model size and the number of input/output tokens. For small-size tasks, the above offloading scheme may lead to unnecessary latency, since the CN cannot obtain real-time information on the computing conditions of the </w:t>
      </w:r>
      <w:r>
        <w:rPr>
          <w:rFonts w:hint="eastAsia"/>
        </w:rPr>
        <w:t xml:space="preserve">6G RAN node </w:t>
      </w:r>
      <w:r>
        <w:t xml:space="preserve">and </w:t>
      </w:r>
      <w:r>
        <w:rPr>
          <w:rFonts w:hint="eastAsia"/>
        </w:rPr>
        <w:t>6G UE</w:t>
      </w:r>
      <w:r>
        <w:t xml:space="preserve">, nor adapt QoS policies at millisecond timescales. Therefore, from our perspective, RAN2 should consider enabling both the </w:t>
      </w:r>
      <w:r>
        <w:rPr>
          <w:rFonts w:hint="eastAsia"/>
        </w:rPr>
        <w:t xml:space="preserve">6G RAN node </w:t>
      </w:r>
      <w:r>
        <w:t xml:space="preserve">and </w:t>
      </w:r>
      <w:r>
        <w:rPr>
          <w:rFonts w:hint="eastAsia"/>
        </w:rPr>
        <w:t>6G UE</w:t>
      </w:r>
      <w:r>
        <w:t xml:space="preserve"> to participate in QoS mechanisms to support dynamic QoS adjustment.</w:t>
      </w:r>
    </w:p>
    <w:p w14:paraId="272225CD" w14:textId="77777777" w:rsidR="00BD507F" w:rsidRDefault="00000000" w:rsidP="00352F9B">
      <w:pPr>
        <w:pStyle w:val="Observation"/>
        <w:spacing w:before="120"/>
        <w:ind w:left="1304" w:hanging="1304"/>
        <w:rPr>
          <w:lang w:val="en-US" w:eastAsia="zh-CN"/>
        </w:rPr>
      </w:pPr>
      <w:r>
        <w:rPr>
          <w:rFonts w:hint="eastAsia"/>
          <w:lang w:val="en-US" w:eastAsia="zh-CN"/>
        </w:rPr>
        <w:t xml:space="preserve">5G </w:t>
      </w:r>
      <w:r>
        <w:rPr>
          <w:rFonts w:hint="eastAsia"/>
          <w:lang w:eastAsia="zh-CN"/>
        </w:rPr>
        <w:t xml:space="preserve">QoS </w:t>
      </w:r>
      <w:r>
        <w:rPr>
          <w:rFonts w:hint="eastAsia"/>
          <w:lang w:val="en-US" w:eastAsia="zh-CN"/>
        </w:rPr>
        <w:t>mechanism is</w:t>
      </w:r>
      <w:r>
        <w:rPr>
          <w:rFonts w:hint="eastAsia"/>
          <w:lang w:eastAsia="zh-CN"/>
        </w:rPr>
        <w:t xml:space="preserve"> designed in a static manner</w:t>
      </w:r>
      <w:r>
        <w:rPr>
          <w:rFonts w:hint="eastAsia"/>
          <w:lang w:val="en-US" w:eastAsia="zh-CN"/>
        </w:rPr>
        <w:t>, which is not suitable for highly dynamic and time-varying AI-native services.</w:t>
      </w:r>
    </w:p>
    <w:p w14:paraId="4AD3C358" w14:textId="3A7E9350" w:rsidR="00BD507F" w:rsidRDefault="00000000" w:rsidP="00352F9B">
      <w:pPr>
        <w:pStyle w:val="Observation"/>
        <w:spacing w:before="120"/>
        <w:ind w:left="1304" w:hanging="1304"/>
        <w:rPr>
          <w:lang w:val="en-US" w:eastAsia="zh-CN"/>
        </w:rPr>
      </w:pPr>
      <w:r>
        <w:rPr>
          <w:rFonts w:hint="eastAsia"/>
          <w:lang w:val="en-US" w:eastAsia="zh-CN"/>
        </w:rPr>
        <w:t xml:space="preserve">To ensure the service quality of AI-native services, the computing </w:t>
      </w:r>
      <w:r w:rsidR="005E14DC">
        <w:rPr>
          <w:rFonts w:hint="eastAsia"/>
          <w:lang w:val="en-US" w:eastAsia="zh-CN"/>
        </w:rPr>
        <w:t>conditions</w:t>
      </w:r>
      <w:r>
        <w:rPr>
          <w:rFonts w:hint="eastAsia"/>
          <w:lang w:val="en-US" w:eastAsia="zh-CN"/>
        </w:rPr>
        <w:t xml:space="preserve"> of network </w:t>
      </w:r>
      <w:r w:rsidR="005E14DC">
        <w:rPr>
          <w:rFonts w:hint="eastAsia"/>
          <w:lang w:val="en-US" w:eastAsia="zh-CN"/>
        </w:rPr>
        <w:t>entities</w:t>
      </w:r>
      <w:r>
        <w:rPr>
          <w:rFonts w:hint="eastAsia"/>
          <w:lang w:val="en-US" w:eastAsia="zh-CN"/>
        </w:rPr>
        <w:t xml:space="preserve"> need to be considered; however, the CN cannot obtain </w:t>
      </w:r>
      <w:r w:rsidR="00352F9B">
        <w:rPr>
          <w:lang w:val="en-US" w:eastAsia="zh-CN"/>
        </w:rPr>
        <w:t xml:space="preserve">the </w:t>
      </w:r>
      <w:r>
        <w:rPr>
          <w:rFonts w:hint="eastAsia"/>
          <w:lang w:val="en-US" w:eastAsia="zh-CN"/>
        </w:rPr>
        <w:t xml:space="preserve">real-time computing status of the </w:t>
      </w:r>
      <w:r w:rsidRPr="00352F9B">
        <w:rPr>
          <w:rFonts w:hint="eastAsia"/>
          <w:lang w:val="en-US" w:eastAsia="zh-CN"/>
        </w:rPr>
        <w:t>6G RAN node</w:t>
      </w:r>
      <w:r>
        <w:rPr>
          <w:rFonts w:hint="eastAsia"/>
          <w:lang w:val="en-US" w:eastAsia="zh-CN"/>
        </w:rPr>
        <w:t xml:space="preserve"> </w:t>
      </w:r>
      <w:r w:rsidRPr="00352F9B">
        <w:rPr>
          <w:rFonts w:hint="eastAsia"/>
          <w:lang w:val="en-US" w:eastAsia="zh-CN"/>
        </w:rPr>
        <w:t>and 6G UE</w:t>
      </w:r>
      <w:r>
        <w:rPr>
          <w:rFonts w:hint="eastAsia"/>
          <w:lang w:val="en-US" w:eastAsia="zh-CN"/>
        </w:rPr>
        <w:t>.</w:t>
      </w:r>
    </w:p>
    <w:p w14:paraId="324DBAD2" w14:textId="203596AC" w:rsidR="005E14DC" w:rsidRPr="005E14DC" w:rsidRDefault="005E14DC" w:rsidP="00000CEF">
      <w:pPr>
        <w:pStyle w:val="Proposal"/>
        <w:spacing w:before="120"/>
        <w:rPr>
          <w:lang w:eastAsia="en-US"/>
        </w:rPr>
      </w:pPr>
      <w:bookmarkStart w:id="8" w:name="_Toc109400807"/>
      <w:bookmarkStart w:id="9" w:name="_Toc109400800"/>
      <w:bookmarkStart w:id="10" w:name="_Toc109400813"/>
      <w:bookmarkStart w:id="11" w:name="_Toc109400797"/>
      <w:bookmarkStart w:id="12" w:name="_Toc109400799"/>
      <w:bookmarkStart w:id="13" w:name="_Toc109400804"/>
      <w:bookmarkStart w:id="14" w:name="_Toc109400811"/>
      <w:bookmarkStart w:id="15" w:name="_Toc109400808"/>
      <w:bookmarkStart w:id="16" w:name="_Toc109400815"/>
      <w:bookmarkStart w:id="17" w:name="_Toc109400816"/>
      <w:bookmarkStart w:id="18" w:name="_Toc109400806"/>
      <w:bookmarkStart w:id="19" w:name="_Toc109400810"/>
      <w:bookmarkStart w:id="20" w:name="_Toc109400814"/>
      <w:bookmarkStart w:id="21" w:name="_Toc109400817"/>
      <w:bookmarkStart w:id="22" w:name="_Toc109400796"/>
      <w:bookmarkStart w:id="23" w:name="_Toc109400812"/>
      <w:bookmarkStart w:id="24" w:name="_Toc109400818"/>
      <w:bookmarkStart w:id="25" w:name="_Toc109400802"/>
      <w:bookmarkStart w:id="26" w:name="_Toc109400805"/>
      <w:bookmarkStart w:id="27" w:name="_Toc109400809"/>
      <w:bookmarkStart w:id="28" w:name="_Toc109400798"/>
      <w:bookmarkStart w:id="29" w:name="_Toc109400803"/>
      <w:bookmarkStart w:id="30" w:name="_Toc109400801"/>
      <w:bookmarkStart w:id="31" w:name="_Ref13461290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E14DC">
        <w:t>RAN2 is suggested to consider dynamic QoS mechanisms, e.g., where the 6G RAN node or the 6G UE is involved in QoS management, enabling real-time and adaptive QoS adjustment.</w:t>
      </w:r>
    </w:p>
    <w:p w14:paraId="6BE37D51" w14:textId="77777777" w:rsidR="00BD507F" w:rsidRDefault="00000000">
      <w:pPr>
        <w:pStyle w:val="1"/>
        <w:ind w:left="0" w:firstLine="0"/>
      </w:pPr>
      <w:r>
        <w:t>3</w:t>
      </w:r>
      <w:r>
        <w:tab/>
        <w:t>Conclusion</w:t>
      </w:r>
      <w:bookmarkEnd w:id="31"/>
    </w:p>
    <w:p w14:paraId="114B721B" w14:textId="39D61893" w:rsidR="00BD507F" w:rsidRDefault="00000000">
      <w:pPr>
        <w:pStyle w:val="a6"/>
        <w:keepNext/>
        <w:tabs>
          <w:tab w:val="left" w:pos="993"/>
          <w:tab w:val="left" w:pos="1509"/>
        </w:tabs>
        <w:spacing w:before="120"/>
      </w:pPr>
      <w:bookmarkStart w:id="32" w:name="_Ref189046994"/>
      <w:r>
        <w:t>Based on the discussion in the previous sections</w:t>
      </w:r>
      <w:r w:rsidR="00000CEF">
        <w:t>,</w:t>
      </w:r>
      <w:r>
        <w:t xml:space="preserve"> we propose the following:</w:t>
      </w:r>
    </w:p>
    <w:p w14:paraId="3DAAF2E7" w14:textId="77777777" w:rsidR="00000CEF" w:rsidRDefault="00000CEF" w:rsidP="00000CEF">
      <w:pPr>
        <w:pStyle w:val="Observation"/>
        <w:numPr>
          <w:ilvl w:val="0"/>
          <w:numId w:val="28"/>
        </w:numPr>
        <w:spacing w:before="120"/>
        <w:ind w:left="1304" w:hanging="1304"/>
      </w:pPr>
      <w:r w:rsidRPr="0032705F">
        <w:t>AI-driven services are emerging as a key new service type in 6G, featuring large and heterogeneous data volume, high dynamics, multi-node collaboration, and strong dependence on computing resources.</w:t>
      </w:r>
    </w:p>
    <w:p w14:paraId="62355252" w14:textId="77777777" w:rsidR="00000CEF" w:rsidRDefault="00000CEF" w:rsidP="00000CEF">
      <w:pPr>
        <w:pStyle w:val="Observation"/>
        <w:numPr>
          <w:ilvl w:val="0"/>
          <w:numId w:val="28"/>
        </w:numPr>
        <w:spacing w:before="120"/>
        <w:ind w:left="1304" w:hanging="1304"/>
      </w:pPr>
      <w:r w:rsidRPr="00000CEF">
        <w:t xml:space="preserve">In large AI models and </w:t>
      </w:r>
      <w:r>
        <w:rPr>
          <w:rFonts w:hint="eastAsia"/>
          <w:lang w:eastAsia="zh-CN"/>
        </w:rPr>
        <w:t>AI</w:t>
      </w:r>
      <w:r w:rsidRPr="00000CEF">
        <w:t xml:space="preserve"> </w:t>
      </w:r>
      <w:r>
        <w:t>agents</w:t>
      </w:r>
      <w:r w:rsidRPr="00000CEF">
        <w:t>, it is natural to adopt token-based communication, where information is exchanged in semantic units rather than raw data packets.</w:t>
      </w:r>
    </w:p>
    <w:p w14:paraId="32A40741" w14:textId="77777777" w:rsidR="00000CEF" w:rsidRPr="00000CEF" w:rsidRDefault="00000CEF" w:rsidP="00000CEF">
      <w:pPr>
        <w:pStyle w:val="Proposal"/>
        <w:numPr>
          <w:ilvl w:val="0"/>
          <w:numId w:val="33"/>
        </w:numPr>
        <w:spacing w:before="120"/>
        <w:rPr>
          <w:lang w:val="en-US"/>
        </w:rPr>
      </w:pPr>
      <w:r w:rsidRPr="00000CEF">
        <w:rPr>
          <w:lang w:val="en-US"/>
        </w:rPr>
        <w:lastRenderedPageBreak/>
        <w:t>To support AI-native communication, 6G should consider token-based communication, where each token serves as a semantic unit for AI model and agent interaction.</w:t>
      </w:r>
    </w:p>
    <w:p w14:paraId="67FB4062" w14:textId="77777777" w:rsidR="00000CEF" w:rsidRDefault="00000CEF" w:rsidP="00000CEF">
      <w:pPr>
        <w:pStyle w:val="Observation"/>
        <w:numPr>
          <w:ilvl w:val="0"/>
          <w:numId w:val="28"/>
        </w:numPr>
        <w:spacing w:before="120"/>
        <w:ind w:left="1304" w:hanging="1304"/>
        <w:rPr>
          <w:lang w:val="en-US" w:eastAsia="zh-CN"/>
        </w:rPr>
      </w:pPr>
      <w:r w:rsidRPr="00000CEF">
        <w:rPr>
          <w:rFonts w:hint="eastAsia"/>
        </w:rPr>
        <w:t>5G</w:t>
      </w:r>
      <w:r>
        <w:rPr>
          <w:rFonts w:hint="eastAsia"/>
          <w:lang w:val="en-US" w:eastAsia="zh-CN"/>
        </w:rPr>
        <w:t xml:space="preserve"> </w:t>
      </w:r>
      <w:r>
        <w:rPr>
          <w:rFonts w:hint="eastAsia"/>
          <w:lang w:eastAsia="zh-CN"/>
        </w:rPr>
        <w:t xml:space="preserve">QoS </w:t>
      </w:r>
      <w:r>
        <w:rPr>
          <w:rFonts w:hint="eastAsia"/>
          <w:lang w:val="en-US" w:eastAsia="zh-CN"/>
        </w:rPr>
        <w:t>mechanism is</w:t>
      </w:r>
      <w:r>
        <w:rPr>
          <w:rFonts w:hint="eastAsia"/>
          <w:lang w:eastAsia="zh-CN"/>
        </w:rPr>
        <w:t xml:space="preserve"> designed in a static manner</w:t>
      </w:r>
      <w:r>
        <w:rPr>
          <w:rFonts w:hint="eastAsia"/>
          <w:lang w:val="en-US" w:eastAsia="zh-CN"/>
        </w:rPr>
        <w:t>, which is not suitable for highly dynamic and time-varying AI-native services.</w:t>
      </w:r>
    </w:p>
    <w:p w14:paraId="2CE1D0C9" w14:textId="77777777" w:rsidR="00000CEF" w:rsidRDefault="00000CEF" w:rsidP="00000CEF">
      <w:pPr>
        <w:pStyle w:val="Observation"/>
        <w:numPr>
          <w:ilvl w:val="0"/>
          <w:numId w:val="28"/>
        </w:numPr>
        <w:spacing w:before="120"/>
        <w:ind w:left="1304" w:hanging="1304"/>
        <w:rPr>
          <w:lang w:val="en-US" w:eastAsia="zh-CN"/>
        </w:rPr>
      </w:pPr>
      <w:r>
        <w:rPr>
          <w:rFonts w:hint="eastAsia"/>
          <w:lang w:val="en-US" w:eastAsia="zh-CN"/>
        </w:rPr>
        <w:t xml:space="preserve">To ensure the service quality of AI-native services, the computing conditions of network entities need to be considered; however, the CN cannot obtain </w:t>
      </w:r>
      <w:r>
        <w:rPr>
          <w:lang w:val="en-US" w:eastAsia="zh-CN"/>
        </w:rPr>
        <w:t xml:space="preserve">the </w:t>
      </w:r>
      <w:r>
        <w:rPr>
          <w:rFonts w:hint="eastAsia"/>
          <w:lang w:val="en-US" w:eastAsia="zh-CN"/>
        </w:rPr>
        <w:t xml:space="preserve">real-time computing status of the </w:t>
      </w:r>
      <w:r w:rsidRPr="00352F9B">
        <w:rPr>
          <w:rFonts w:hint="eastAsia"/>
          <w:lang w:val="en-US" w:eastAsia="zh-CN"/>
        </w:rPr>
        <w:t>6G RAN node</w:t>
      </w:r>
      <w:r>
        <w:rPr>
          <w:rFonts w:hint="eastAsia"/>
          <w:lang w:val="en-US" w:eastAsia="zh-CN"/>
        </w:rPr>
        <w:t xml:space="preserve"> </w:t>
      </w:r>
      <w:r w:rsidRPr="00352F9B">
        <w:rPr>
          <w:rFonts w:hint="eastAsia"/>
          <w:lang w:val="en-US" w:eastAsia="zh-CN"/>
        </w:rPr>
        <w:t>and 6G UE</w:t>
      </w:r>
      <w:r>
        <w:rPr>
          <w:rFonts w:hint="eastAsia"/>
          <w:lang w:val="en-US" w:eastAsia="zh-CN"/>
        </w:rPr>
        <w:t>.</w:t>
      </w:r>
    </w:p>
    <w:p w14:paraId="59D5114F" w14:textId="6CDF9FCE" w:rsidR="00000CEF" w:rsidRPr="00000CEF" w:rsidRDefault="00000CEF" w:rsidP="00000CEF">
      <w:pPr>
        <w:pStyle w:val="Proposal"/>
        <w:spacing w:before="120"/>
        <w:rPr>
          <w:rFonts w:hint="eastAsia"/>
          <w:lang w:val="en-US"/>
        </w:rPr>
      </w:pPr>
      <w:r w:rsidRPr="00000CEF">
        <w:rPr>
          <w:lang w:val="en-US"/>
        </w:rPr>
        <w:t>RAN2 is suggested to consider dynamic QoS mechanisms, e.g., where the 6G RAN node or the 6G UE is involved in QoS management, enabling real-time and adaptive QoS adjustment.</w:t>
      </w:r>
    </w:p>
    <w:bookmarkEnd w:id="32"/>
    <w:p w14:paraId="2FD02046" w14:textId="77777777" w:rsidR="00BD507F" w:rsidRDefault="00000000">
      <w:pPr>
        <w:pStyle w:val="1"/>
        <w:rPr>
          <w:lang w:val="en-US"/>
        </w:rPr>
      </w:pPr>
      <w:r>
        <w:rPr>
          <w:lang w:val="en-US"/>
        </w:rPr>
        <w:t>References</w:t>
      </w:r>
    </w:p>
    <w:p w14:paraId="5DE50CFE" w14:textId="77777777" w:rsidR="00BD507F" w:rsidRDefault="00000000">
      <w:pPr>
        <w:numPr>
          <w:ilvl w:val="0"/>
          <w:numId w:val="17"/>
        </w:numPr>
        <w:rPr>
          <w:rFonts w:eastAsia="Batang"/>
          <w:szCs w:val="16"/>
          <w:lang w:val="en-US" w:eastAsia="en-US"/>
        </w:rPr>
      </w:pPr>
      <w:r>
        <w:rPr>
          <w:szCs w:val="16"/>
          <w:lang w:val="en-US" w:eastAsia="en-US"/>
        </w:rPr>
        <w:t xml:space="preserve">TR </w:t>
      </w:r>
      <w:r>
        <w:rPr>
          <w:rFonts w:hint="eastAsia"/>
          <w:szCs w:val="16"/>
          <w:lang w:val="en-US"/>
        </w:rPr>
        <w:t>22.870</w:t>
      </w:r>
      <w:r>
        <w:rPr>
          <w:rFonts w:eastAsia="Batang" w:hint="eastAsia"/>
          <w:szCs w:val="16"/>
          <w:lang w:val="en-US" w:eastAsia="en-US"/>
        </w:rPr>
        <w:t xml:space="preserve">, </w:t>
      </w:r>
      <w:r>
        <w:rPr>
          <w:rFonts w:eastAsia="Batang"/>
          <w:szCs w:val="16"/>
          <w:lang w:val="en-US" w:eastAsia="en-US"/>
        </w:rPr>
        <w:t>Study on 6G Use Cases and Service Requirements</w:t>
      </w:r>
      <w:r>
        <w:rPr>
          <w:rFonts w:eastAsia="Batang" w:hint="eastAsia"/>
          <w:szCs w:val="16"/>
          <w:lang w:val="en-US" w:eastAsia="en-US"/>
        </w:rPr>
        <w:t>.</w:t>
      </w:r>
    </w:p>
    <w:p w14:paraId="2AC46069" w14:textId="77777777" w:rsidR="00BD507F" w:rsidRDefault="00000000">
      <w:pPr>
        <w:numPr>
          <w:ilvl w:val="0"/>
          <w:numId w:val="17"/>
        </w:numPr>
        <w:rPr>
          <w:rFonts w:eastAsia="Batang"/>
          <w:szCs w:val="16"/>
          <w:lang w:val="en-US" w:eastAsia="zh-CN"/>
        </w:rPr>
      </w:pPr>
      <w:r>
        <w:rPr>
          <w:rFonts w:hint="eastAsia"/>
          <w:szCs w:val="16"/>
          <w:lang w:val="en-US" w:eastAsia="zh-CN"/>
        </w:rPr>
        <w:t>RAN2#131bis</w:t>
      </w:r>
      <w:r>
        <w:rPr>
          <w:rFonts w:eastAsia="Batang" w:hint="eastAsia"/>
          <w:szCs w:val="16"/>
          <w:lang w:val="en-US" w:eastAsia="en-US"/>
        </w:rPr>
        <w:t xml:space="preserve">, </w:t>
      </w:r>
      <w:r>
        <w:rPr>
          <w:rFonts w:hint="eastAsia"/>
          <w:szCs w:val="16"/>
          <w:lang w:val="en-US" w:eastAsia="zh-CN"/>
        </w:rPr>
        <w:t>chairman notes</w:t>
      </w:r>
    </w:p>
    <w:sectPr w:rsidR="00BD507F">
      <w:headerReference w:type="even" r:id="rId11"/>
      <w:footerReference w:type="default" r:id="rId12"/>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7752" w14:textId="77777777" w:rsidR="00352560" w:rsidRDefault="00352560">
      <w:pPr>
        <w:spacing w:after="0"/>
      </w:pPr>
      <w:r>
        <w:separator/>
      </w:r>
    </w:p>
  </w:endnote>
  <w:endnote w:type="continuationSeparator" w:id="0">
    <w:p w14:paraId="4F9A3974" w14:textId="77777777" w:rsidR="00352560" w:rsidRDefault="003525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8812" w14:textId="77777777" w:rsidR="00BD507F" w:rsidRDefault="00000000">
    <w:pPr>
      <w:pStyle w:val="af6"/>
      <w:tabs>
        <w:tab w:val="center" w:pos="4820"/>
        <w:tab w:val="right" w:pos="9639"/>
      </w:tabs>
      <w:jc w:val="left"/>
    </w:pPr>
    <w:r>
      <w:tab/>
    </w:r>
    <w:r>
      <w:rPr>
        <w:rStyle w:val="aff6"/>
      </w:rPr>
      <w:fldChar w:fldCharType="begin"/>
    </w:r>
    <w:r>
      <w:rPr>
        <w:rStyle w:val="aff6"/>
      </w:rPr>
      <w:instrText xml:space="preserve"> PAGE </w:instrText>
    </w:r>
    <w:r>
      <w:rPr>
        <w:rStyle w:val="aff6"/>
      </w:rPr>
      <w:fldChar w:fldCharType="separate"/>
    </w:r>
    <w:r>
      <w:rPr>
        <w:rStyle w:val="aff6"/>
      </w:rPr>
      <w:t>4</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4</w:t>
    </w:r>
    <w:r>
      <w:rPr>
        <w:rStyle w:val="aff6"/>
      </w:rPr>
      <w:fldChar w:fldCharType="end"/>
    </w:r>
    <w:r>
      <w:rPr>
        <w:rStyle w:val="af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2C58C" w14:textId="77777777" w:rsidR="00352560" w:rsidRDefault="00352560">
      <w:pPr>
        <w:spacing w:after="0"/>
      </w:pPr>
      <w:r>
        <w:separator/>
      </w:r>
    </w:p>
  </w:footnote>
  <w:footnote w:type="continuationSeparator" w:id="0">
    <w:p w14:paraId="0EF81266" w14:textId="77777777" w:rsidR="00352560" w:rsidRDefault="003525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A920" w14:textId="77777777" w:rsidR="00BD507F"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9ECB8C"/>
    <w:multiLevelType w:val="singleLevel"/>
    <w:tmpl w:val="DE9ECB8C"/>
    <w:lvl w:ilvl="0">
      <w:start w:val="1"/>
      <w:numFmt w:val="decimal"/>
      <w:suff w:val="space"/>
      <w:lvlText w:val="[%1]"/>
      <w:lvlJc w:val="left"/>
    </w:lvl>
  </w:abstractNum>
  <w:abstractNum w:abstractNumId="1" w15:restartNumberingAfterBreak="0">
    <w:nsid w:val="F86045CF"/>
    <w:multiLevelType w:val="multilevel"/>
    <w:tmpl w:val="F86045CF"/>
    <w:lvl w:ilvl="0">
      <w:start w:val="1"/>
      <w:numFmt w:val="decimal"/>
      <w:lvlText w:val="Proposal %1:"/>
      <w:lvlJc w:val="right"/>
      <w:pPr>
        <w:tabs>
          <w:tab w:val="left" w:pos="0"/>
        </w:tabs>
        <w:ind w:left="1420" w:hanging="420"/>
      </w:pPr>
      <w:rPr>
        <w:rFonts w:ascii="Times New Roman" w:hAnsi="Times New Roman" w:cs="Times New Roman" w:hint="default"/>
        <w:b/>
        <w:bCs/>
      </w:rPr>
    </w:lvl>
    <w:lvl w:ilvl="1">
      <w:start w:val="1"/>
      <w:numFmt w:val="lowerLetter"/>
      <w:lvlText w:val="%2)"/>
      <w:lvlJc w:val="left"/>
      <w:pPr>
        <w:tabs>
          <w:tab w:val="left" w:pos="0"/>
        </w:tabs>
        <w:ind w:left="990" w:hanging="420"/>
      </w:pPr>
      <w:rPr>
        <w:rFonts w:ascii="Times New Roman" w:hAnsi="Times New Roman" w:cs="Times New Roman" w:hint="default"/>
      </w:rPr>
    </w:lvl>
    <w:lvl w:ilvl="2">
      <w:start w:val="1"/>
      <w:numFmt w:val="lowerRoman"/>
      <w:lvlText w:val="%3."/>
      <w:lvlJc w:val="right"/>
      <w:pPr>
        <w:tabs>
          <w:tab w:val="left" w:pos="0"/>
        </w:tabs>
        <w:ind w:left="1410" w:hanging="420"/>
      </w:pPr>
      <w:rPr>
        <w:rFonts w:ascii="Times New Roman" w:hAnsi="Times New Roman" w:cs="Times New Roman" w:hint="default"/>
      </w:rPr>
    </w:lvl>
    <w:lvl w:ilvl="3">
      <w:start w:val="1"/>
      <w:numFmt w:val="decimal"/>
      <w:lvlText w:val="%4."/>
      <w:lvlJc w:val="left"/>
      <w:pPr>
        <w:tabs>
          <w:tab w:val="left" w:pos="0"/>
        </w:tabs>
        <w:ind w:left="1830" w:hanging="420"/>
      </w:pPr>
      <w:rPr>
        <w:rFonts w:ascii="Times New Roman" w:hAnsi="Times New Roman" w:cs="Times New Roman" w:hint="default"/>
      </w:rPr>
    </w:lvl>
    <w:lvl w:ilvl="4">
      <w:start w:val="1"/>
      <w:numFmt w:val="lowerLetter"/>
      <w:lvlText w:val="%5)"/>
      <w:lvlJc w:val="left"/>
      <w:pPr>
        <w:tabs>
          <w:tab w:val="left" w:pos="0"/>
        </w:tabs>
        <w:ind w:left="2250" w:hanging="420"/>
      </w:pPr>
      <w:rPr>
        <w:rFonts w:ascii="Times New Roman" w:hAnsi="Times New Roman" w:cs="Times New Roman" w:hint="default"/>
      </w:rPr>
    </w:lvl>
    <w:lvl w:ilvl="5">
      <w:start w:val="1"/>
      <w:numFmt w:val="lowerRoman"/>
      <w:lvlText w:val="%6."/>
      <w:lvlJc w:val="right"/>
      <w:pPr>
        <w:tabs>
          <w:tab w:val="left" w:pos="0"/>
        </w:tabs>
        <w:ind w:left="2670" w:hanging="420"/>
      </w:pPr>
      <w:rPr>
        <w:rFonts w:ascii="Times New Roman" w:hAnsi="Times New Roman" w:cs="Times New Roman" w:hint="default"/>
      </w:rPr>
    </w:lvl>
    <w:lvl w:ilvl="6">
      <w:start w:val="1"/>
      <w:numFmt w:val="decimal"/>
      <w:lvlText w:val="%7."/>
      <w:lvlJc w:val="left"/>
      <w:pPr>
        <w:tabs>
          <w:tab w:val="left" w:pos="0"/>
        </w:tabs>
        <w:ind w:left="3090" w:hanging="420"/>
      </w:pPr>
      <w:rPr>
        <w:rFonts w:ascii="Times New Roman" w:hAnsi="Times New Roman" w:cs="Times New Roman" w:hint="default"/>
      </w:rPr>
    </w:lvl>
    <w:lvl w:ilvl="7">
      <w:start w:val="1"/>
      <w:numFmt w:val="lowerLetter"/>
      <w:lvlText w:val="%8)"/>
      <w:lvlJc w:val="left"/>
      <w:pPr>
        <w:tabs>
          <w:tab w:val="left" w:pos="0"/>
        </w:tabs>
        <w:ind w:left="3510" w:hanging="420"/>
      </w:pPr>
      <w:rPr>
        <w:rFonts w:ascii="Times New Roman" w:hAnsi="Times New Roman" w:cs="Times New Roman" w:hint="default"/>
      </w:rPr>
    </w:lvl>
    <w:lvl w:ilvl="8">
      <w:start w:val="1"/>
      <w:numFmt w:val="lowerRoman"/>
      <w:lvlText w:val="%9."/>
      <w:lvlJc w:val="right"/>
      <w:pPr>
        <w:tabs>
          <w:tab w:val="left" w:pos="0"/>
        </w:tabs>
        <w:ind w:left="3930" w:hanging="420"/>
      </w:pPr>
      <w:rPr>
        <w:rFonts w:ascii="Times New Roman" w:hAnsi="Times New Roman" w:cs="Times New Roman" w:hint="default"/>
      </w:rPr>
    </w:lvl>
  </w:abstractNum>
  <w:abstractNum w:abstractNumId="2" w15:restartNumberingAfterBreak="0">
    <w:nsid w:val="FFFFFF7E"/>
    <w:multiLevelType w:val="multilevel"/>
    <w:tmpl w:val="FFFFFF7E"/>
    <w:lvl w:ilvl="0">
      <w:start w:val="1"/>
      <w:numFmt w:val="lowerRoman"/>
      <w:pStyle w:val="3"/>
      <w:lvlText w:val="%1."/>
      <w:lvlJc w:val="right"/>
      <w:pPr>
        <w:ind w:left="-105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5F7D58"/>
    <w:multiLevelType w:val="multilevel"/>
    <w:tmpl w:val="B3FE84D0"/>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FE197C"/>
    <w:multiLevelType w:val="multilevel"/>
    <w:tmpl w:val="31DC09C2"/>
    <w:lvl w:ilvl="0">
      <w:start w:val="1"/>
      <w:numFmt w:val="decimal"/>
      <w:lvlText w:val="Proposal %1:"/>
      <w:lvlJc w:val="right"/>
      <w:pPr>
        <w:tabs>
          <w:tab w:val="left" w:pos="0"/>
        </w:tabs>
        <w:ind w:left="1270" w:hanging="420"/>
      </w:pPr>
      <w:rPr>
        <w:rFonts w:ascii="Times New Roman" w:hAnsi="Times New Roman" w:cs="Times New Roman" w:hint="default"/>
        <w:b/>
        <w:bCs/>
      </w:rPr>
    </w:lvl>
    <w:lvl w:ilvl="1">
      <w:start w:val="1"/>
      <w:numFmt w:val="lowerLetter"/>
      <w:lvlText w:val="%2)"/>
      <w:lvlJc w:val="left"/>
      <w:pPr>
        <w:tabs>
          <w:tab w:val="left" w:pos="0"/>
        </w:tabs>
        <w:ind w:left="840" w:hanging="420"/>
      </w:pPr>
      <w:rPr>
        <w:rFonts w:ascii="Times New Roman" w:hAnsi="Times New Roman" w:cs="Times New Roman" w:hint="default"/>
      </w:rPr>
    </w:lvl>
    <w:lvl w:ilvl="2">
      <w:start w:val="1"/>
      <w:numFmt w:val="lowerRoman"/>
      <w:lvlText w:val="%3."/>
      <w:lvlJc w:val="right"/>
      <w:pPr>
        <w:tabs>
          <w:tab w:val="left" w:pos="0"/>
        </w:tabs>
        <w:ind w:left="1260" w:hanging="420"/>
      </w:pPr>
      <w:rPr>
        <w:rFonts w:ascii="Times New Roman" w:hAnsi="Times New Roman" w:cs="Times New Roman" w:hint="default"/>
      </w:rPr>
    </w:lvl>
    <w:lvl w:ilvl="3">
      <w:start w:val="1"/>
      <w:numFmt w:val="decimal"/>
      <w:lvlText w:val="%4."/>
      <w:lvlJc w:val="left"/>
      <w:pPr>
        <w:tabs>
          <w:tab w:val="left" w:pos="0"/>
        </w:tabs>
        <w:ind w:left="1680" w:hanging="420"/>
      </w:pPr>
      <w:rPr>
        <w:rFonts w:ascii="Times New Roman" w:hAnsi="Times New Roman" w:cs="Times New Roman" w:hint="default"/>
      </w:rPr>
    </w:lvl>
    <w:lvl w:ilvl="4">
      <w:start w:val="1"/>
      <w:numFmt w:val="lowerLetter"/>
      <w:lvlText w:val="%5)"/>
      <w:lvlJc w:val="left"/>
      <w:pPr>
        <w:tabs>
          <w:tab w:val="left" w:pos="0"/>
        </w:tabs>
        <w:ind w:left="2100" w:hanging="420"/>
      </w:pPr>
      <w:rPr>
        <w:rFonts w:ascii="Times New Roman" w:hAnsi="Times New Roman" w:cs="Times New Roman" w:hint="default"/>
      </w:rPr>
    </w:lvl>
    <w:lvl w:ilvl="5">
      <w:start w:val="1"/>
      <w:numFmt w:val="lowerRoman"/>
      <w:lvlText w:val="%6."/>
      <w:lvlJc w:val="right"/>
      <w:pPr>
        <w:tabs>
          <w:tab w:val="left" w:pos="0"/>
        </w:tabs>
        <w:ind w:left="2520" w:hanging="420"/>
      </w:pPr>
      <w:rPr>
        <w:rFonts w:ascii="Times New Roman" w:hAnsi="Times New Roman" w:cs="Times New Roman" w:hint="default"/>
      </w:rPr>
    </w:lvl>
    <w:lvl w:ilvl="6">
      <w:start w:val="1"/>
      <w:numFmt w:val="decimal"/>
      <w:lvlText w:val="%7."/>
      <w:lvlJc w:val="left"/>
      <w:pPr>
        <w:tabs>
          <w:tab w:val="left" w:pos="0"/>
        </w:tabs>
        <w:ind w:left="2940" w:hanging="420"/>
      </w:pPr>
      <w:rPr>
        <w:rFonts w:ascii="Times New Roman" w:hAnsi="Times New Roman" w:cs="Times New Roman" w:hint="default"/>
      </w:rPr>
    </w:lvl>
    <w:lvl w:ilvl="7">
      <w:start w:val="1"/>
      <w:numFmt w:val="lowerLetter"/>
      <w:lvlText w:val="%8)"/>
      <w:lvlJc w:val="left"/>
      <w:pPr>
        <w:tabs>
          <w:tab w:val="left" w:pos="0"/>
        </w:tabs>
        <w:ind w:left="3360" w:hanging="420"/>
      </w:pPr>
      <w:rPr>
        <w:rFonts w:ascii="Times New Roman" w:hAnsi="Times New Roman" w:cs="Times New Roman" w:hint="default"/>
      </w:rPr>
    </w:lvl>
    <w:lvl w:ilvl="8">
      <w:start w:val="1"/>
      <w:numFmt w:val="lowerRoman"/>
      <w:lvlText w:val="%9."/>
      <w:lvlJc w:val="right"/>
      <w:pPr>
        <w:tabs>
          <w:tab w:val="left" w:pos="0"/>
        </w:tabs>
        <w:ind w:left="3780" w:hanging="420"/>
      </w:pPr>
      <w:rPr>
        <w:rFonts w:ascii="Times New Roman" w:hAnsi="Times New Roman" w:cs="Times New Roman"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AFD63B1"/>
    <w:multiLevelType w:val="multilevel"/>
    <w:tmpl w:val="820A2666"/>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1DC09C2"/>
    <w:multiLevelType w:val="multilevel"/>
    <w:tmpl w:val="31DC09C2"/>
    <w:lvl w:ilvl="0">
      <w:start w:val="1"/>
      <w:numFmt w:val="decimal"/>
      <w:lvlText w:val="Proposal %1:"/>
      <w:lvlJc w:val="right"/>
      <w:pPr>
        <w:tabs>
          <w:tab w:val="left" w:pos="0"/>
        </w:tabs>
        <w:ind w:left="1270" w:hanging="420"/>
      </w:pPr>
      <w:rPr>
        <w:rFonts w:ascii="Times New Roman" w:hAnsi="Times New Roman" w:cs="Times New Roman" w:hint="default"/>
        <w:b/>
        <w:bCs/>
      </w:rPr>
    </w:lvl>
    <w:lvl w:ilvl="1">
      <w:start w:val="1"/>
      <w:numFmt w:val="lowerLetter"/>
      <w:lvlText w:val="%2)"/>
      <w:lvlJc w:val="left"/>
      <w:pPr>
        <w:tabs>
          <w:tab w:val="left" w:pos="0"/>
        </w:tabs>
        <w:ind w:left="840" w:hanging="420"/>
      </w:pPr>
      <w:rPr>
        <w:rFonts w:ascii="Times New Roman" w:hAnsi="Times New Roman" w:cs="Times New Roman" w:hint="default"/>
      </w:rPr>
    </w:lvl>
    <w:lvl w:ilvl="2">
      <w:start w:val="1"/>
      <w:numFmt w:val="lowerRoman"/>
      <w:lvlText w:val="%3."/>
      <w:lvlJc w:val="right"/>
      <w:pPr>
        <w:tabs>
          <w:tab w:val="left" w:pos="0"/>
        </w:tabs>
        <w:ind w:left="1260" w:hanging="420"/>
      </w:pPr>
      <w:rPr>
        <w:rFonts w:ascii="Times New Roman" w:hAnsi="Times New Roman" w:cs="Times New Roman" w:hint="default"/>
      </w:rPr>
    </w:lvl>
    <w:lvl w:ilvl="3">
      <w:start w:val="1"/>
      <w:numFmt w:val="decimal"/>
      <w:lvlText w:val="%4."/>
      <w:lvlJc w:val="left"/>
      <w:pPr>
        <w:tabs>
          <w:tab w:val="left" w:pos="0"/>
        </w:tabs>
        <w:ind w:left="1680" w:hanging="420"/>
      </w:pPr>
      <w:rPr>
        <w:rFonts w:ascii="Times New Roman" w:hAnsi="Times New Roman" w:cs="Times New Roman" w:hint="default"/>
      </w:rPr>
    </w:lvl>
    <w:lvl w:ilvl="4">
      <w:start w:val="1"/>
      <w:numFmt w:val="lowerLetter"/>
      <w:lvlText w:val="%5)"/>
      <w:lvlJc w:val="left"/>
      <w:pPr>
        <w:tabs>
          <w:tab w:val="left" w:pos="0"/>
        </w:tabs>
        <w:ind w:left="2100" w:hanging="420"/>
      </w:pPr>
      <w:rPr>
        <w:rFonts w:ascii="Times New Roman" w:hAnsi="Times New Roman" w:cs="Times New Roman" w:hint="default"/>
      </w:rPr>
    </w:lvl>
    <w:lvl w:ilvl="5">
      <w:start w:val="1"/>
      <w:numFmt w:val="lowerRoman"/>
      <w:lvlText w:val="%6."/>
      <w:lvlJc w:val="right"/>
      <w:pPr>
        <w:tabs>
          <w:tab w:val="left" w:pos="0"/>
        </w:tabs>
        <w:ind w:left="2520" w:hanging="420"/>
      </w:pPr>
      <w:rPr>
        <w:rFonts w:ascii="Times New Roman" w:hAnsi="Times New Roman" w:cs="Times New Roman" w:hint="default"/>
      </w:rPr>
    </w:lvl>
    <w:lvl w:ilvl="6">
      <w:start w:val="1"/>
      <w:numFmt w:val="decimal"/>
      <w:lvlText w:val="%7."/>
      <w:lvlJc w:val="left"/>
      <w:pPr>
        <w:tabs>
          <w:tab w:val="left" w:pos="0"/>
        </w:tabs>
        <w:ind w:left="2940" w:hanging="420"/>
      </w:pPr>
      <w:rPr>
        <w:rFonts w:ascii="Times New Roman" w:hAnsi="Times New Roman" w:cs="Times New Roman" w:hint="default"/>
      </w:rPr>
    </w:lvl>
    <w:lvl w:ilvl="7">
      <w:start w:val="1"/>
      <w:numFmt w:val="lowerLetter"/>
      <w:lvlText w:val="%8)"/>
      <w:lvlJc w:val="left"/>
      <w:pPr>
        <w:tabs>
          <w:tab w:val="left" w:pos="0"/>
        </w:tabs>
        <w:ind w:left="3360" w:hanging="420"/>
      </w:pPr>
      <w:rPr>
        <w:rFonts w:ascii="Times New Roman" w:hAnsi="Times New Roman" w:cs="Times New Roman" w:hint="default"/>
      </w:rPr>
    </w:lvl>
    <w:lvl w:ilvl="8">
      <w:start w:val="1"/>
      <w:numFmt w:val="lowerRoman"/>
      <w:lvlText w:val="%9."/>
      <w:lvlJc w:val="right"/>
      <w:pPr>
        <w:tabs>
          <w:tab w:val="left" w:pos="0"/>
        </w:tabs>
        <w:ind w:left="3780" w:hanging="420"/>
      </w:pPr>
      <w:rPr>
        <w:rFonts w:ascii="Times New Roman" w:hAnsi="Times New Roman" w:cs="Times New Roman" w:hint="default"/>
      </w:r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9D61D34"/>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6FF5CE3"/>
    <w:multiLevelType w:val="multilevel"/>
    <w:tmpl w:val="8048C79C"/>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306" w:hanging="360"/>
      </w:pPr>
    </w:lvl>
    <w:lvl w:ilvl="2">
      <w:start w:val="1"/>
      <w:numFmt w:val="lowerRoman"/>
      <w:lvlText w:val="%3."/>
      <w:lvlJc w:val="right"/>
      <w:pPr>
        <w:ind w:left="1026" w:hanging="180"/>
      </w:pPr>
    </w:lvl>
    <w:lvl w:ilvl="3">
      <w:start w:val="1"/>
      <w:numFmt w:val="decimal"/>
      <w:lvlText w:val="%4."/>
      <w:lvlJc w:val="left"/>
      <w:pPr>
        <w:ind w:left="1746" w:hanging="360"/>
      </w:pPr>
    </w:lvl>
    <w:lvl w:ilvl="4">
      <w:start w:val="1"/>
      <w:numFmt w:val="lowerLetter"/>
      <w:lvlText w:val="%5."/>
      <w:lvlJc w:val="left"/>
      <w:pPr>
        <w:ind w:left="2466" w:hanging="360"/>
      </w:pPr>
    </w:lvl>
    <w:lvl w:ilvl="5">
      <w:start w:val="1"/>
      <w:numFmt w:val="lowerRoman"/>
      <w:lvlText w:val="%6."/>
      <w:lvlJc w:val="right"/>
      <w:pPr>
        <w:ind w:left="3186" w:hanging="180"/>
      </w:pPr>
    </w:lvl>
    <w:lvl w:ilvl="6">
      <w:start w:val="1"/>
      <w:numFmt w:val="decimal"/>
      <w:lvlText w:val="%7."/>
      <w:lvlJc w:val="left"/>
      <w:pPr>
        <w:ind w:left="3906" w:hanging="360"/>
      </w:pPr>
    </w:lvl>
    <w:lvl w:ilvl="7">
      <w:start w:val="1"/>
      <w:numFmt w:val="lowerLetter"/>
      <w:lvlText w:val="%8."/>
      <w:lvlJc w:val="left"/>
      <w:pPr>
        <w:ind w:left="4626" w:hanging="360"/>
      </w:pPr>
    </w:lvl>
    <w:lvl w:ilvl="8">
      <w:start w:val="1"/>
      <w:numFmt w:val="lowerRoman"/>
      <w:lvlText w:val="%9."/>
      <w:lvlJc w:val="right"/>
      <w:pPr>
        <w:ind w:left="5346"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AC54BD0"/>
    <w:multiLevelType w:val="singleLevel"/>
    <w:tmpl w:val="5AC54BD0"/>
    <w:lvl w:ilvl="0">
      <w:start w:val="1"/>
      <w:numFmt w:val="bullet"/>
      <w:lvlText w:val=""/>
      <w:lvlJc w:val="left"/>
      <w:pPr>
        <w:tabs>
          <w:tab w:val="left" w:pos="420"/>
        </w:tabs>
        <w:ind w:left="840" w:hanging="420"/>
      </w:pPr>
      <w:rPr>
        <w:rFonts w:ascii="Wingdings" w:hAnsi="Wingdings" w:hint="default"/>
        <w:sz w:val="16"/>
        <w:szCs w:val="16"/>
      </w:rPr>
    </w:lvl>
  </w:abstractNum>
  <w:abstractNum w:abstractNumId="1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6FD80A19"/>
    <w:multiLevelType w:val="multilevel"/>
    <w:tmpl w:val="3CA88444"/>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523779933">
    <w:abstractNumId w:val="10"/>
  </w:num>
  <w:num w:numId="2" w16cid:durableId="846138996">
    <w:abstractNumId w:val="4"/>
  </w:num>
  <w:num w:numId="3" w16cid:durableId="49770562">
    <w:abstractNumId w:val="7"/>
  </w:num>
  <w:num w:numId="4" w16cid:durableId="691801800">
    <w:abstractNumId w:val="17"/>
  </w:num>
  <w:num w:numId="5" w16cid:durableId="684097085">
    <w:abstractNumId w:val="2"/>
  </w:num>
  <w:num w:numId="6" w16cid:durableId="772673086">
    <w:abstractNumId w:val="20"/>
  </w:num>
  <w:num w:numId="7" w16cid:durableId="974986540">
    <w:abstractNumId w:val="13"/>
  </w:num>
  <w:num w:numId="8" w16cid:durableId="859584596">
    <w:abstractNumId w:val="11"/>
  </w:num>
  <w:num w:numId="9" w16cid:durableId="685402120">
    <w:abstractNumId w:val="14"/>
  </w:num>
  <w:num w:numId="10" w16cid:durableId="866715365">
    <w:abstractNumId w:val="15"/>
  </w:num>
  <w:num w:numId="11" w16cid:durableId="1023556551">
    <w:abstractNumId w:val="19"/>
  </w:num>
  <w:num w:numId="12" w16cid:durableId="1285502676">
    <w:abstractNumId w:val="6"/>
  </w:num>
  <w:num w:numId="13" w16cid:durableId="1765760371">
    <w:abstractNumId w:val="16"/>
  </w:num>
  <w:num w:numId="14" w16cid:durableId="322511481">
    <w:abstractNumId w:val="1"/>
  </w:num>
  <w:num w:numId="15" w16cid:durableId="12785658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02930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0377021">
    <w:abstractNumId w:val="0"/>
  </w:num>
  <w:num w:numId="18" w16cid:durableId="1928533680">
    <w:abstractNumId w:val="14"/>
  </w:num>
  <w:num w:numId="19" w16cid:durableId="911723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06617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537590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313475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9870901">
    <w:abstractNumId w:val="14"/>
  </w:num>
  <w:num w:numId="24" w16cid:durableId="2959110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2994852">
    <w:abstractNumId w:val="14"/>
  </w:num>
  <w:num w:numId="26" w16cid:durableId="370035360">
    <w:abstractNumId w:val="14"/>
  </w:num>
  <w:num w:numId="27" w16cid:durableId="1559903935">
    <w:abstractNumId w:val="14"/>
  </w:num>
  <w:num w:numId="28" w16cid:durableId="12005815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0453624">
    <w:abstractNumId w:val="14"/>
  </w:num>
  <w:num w:numId="30" w16cid:durableId="1670254376">
    <w:abstractNumId w:val="14"/>
  </w:num>
  <w:num w:numId="31" w16cid:durableId="1088769838">
    <w:abstractNumId w:val="14"/>
  </w:num>
  <w:num w:numId="32" w16cid:durableId="1578590957">
    <w:abstractNumId w:val="5"/>
  </w:num>
  <w:num w:numId="33" w16cid:durableId="1950423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CEF"/>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19D"/>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C7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73C"/>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10"/>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9F"/>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BA7"/>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CF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9EF"/>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05F"/>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560"/>
    <w:rsid w:val="003527FA"/>
    <w:rsid w:val="003528D5"/>
    <w:rsid w:val="00352A16"/>
    <w:rsid w:val="00352AC0"/>
    <w:rsid w:val="00352D0C"/>
    <w:rsid w:val="00352F9B"/>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DCB"/>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93"/>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A3"/>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2FEC"/>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4DC"/>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81C"/>
    <w:rsid w:val="0060283C"/>
    <w:rsid w:val="00602A98"/>
    <w:rsid w:val="00602BDF"/>
    <w:rsid w:val="00602C32"/>
    <w:rsid w:val="00602CA3"/>
    <w:rsid w:val="00602F0E"/>
    <w:rsid w:val="0060329C"/>
    <w:rsid w:val="00603327"/>
    <w:rsid w:val="006033E2"/>
    <w:rsid w:val="0060342C"/>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4C75"/>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6D1"/>
    <w:rsid w:val="007317DD"/>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1FC6"/>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35"/>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5F9"/>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A77"/>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3C1"/>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C40"/>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F3"/>
    <w:rsid w:val="00937346"/>
    <w:rsid w:val="009373C6"/>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35B"/>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84A"/>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3A3"/>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C33"/>
    <w:rsid w:val="00A76DE1"/>
    <w:rsid w:val="00A76FC4"/>
    <w:rsid w:val="00A774C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1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9F"/>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169"/>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7F"/>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B2D"/>
    <w:rsid w:val="00C97C5E"/>
    <w:rsid w:val="00C97CBF"/>
    <w:rsid w:val="00C97DF0"/>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F8C"/>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92"/>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92B"/>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B4"/>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49"/>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522"/>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E22"/>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66672ED"/>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DFC05"/>
  <w15:docId w15:val="{13A0B184-1C4D-47CE-A2BF-555E3F79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uiPriority="1" w:unhideWhenUsed="1" w:qFormat="1"/>
    <w:lsdException w:name="Body Text" w:qFormat="1"/>
    <w:lsdException w:name="List Continue" w:qFormat="1"/>
    <w:lsdException w:name="List Continue 2" w:qFormat="1"/>
    <w:lsdException w:name="Subtitle" w:qFormat="1"/>
    <w:lsdException w:name="Block Text" w:qFormat="1"/>
    <w:lsdException w:name="Hyperlink" w:uiPriority="99" w:qFormat="1"/>
    <w:lsdException w:name="FollowedHyperlink" w:unhideWhenUsed="1" w:qFormat="1"/>
    <w:lsdException w:name="Strong" w:uiPriority="22"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ja-JP"/>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1"/>
    <w:link w:val="20"/>
    <w:uiPriority w:val="9"/>
    <w:qFormat/>
    <w:pPr>
      <w:pBdr>
        <w:top w:val="none" w:sz="0" w:space="0" w:color="auto"/>
      </w:pBdr>
      <w:spacing w:before="180"/>
      <w:outlineLvl w:val="1"/>
    </w:pPr>
    <w:rPr>
      <w:sz w:val="32"/>
    </w:rPr>
  </w:style>
  <w:style w:type="paragraph" w:styleId="31">
    <w:name w:val="heading 3"/>
    <w:basedOn w:val="2"/>
    <w:next w:val="a1"/>
    <w:link w:val="32"/>
    <w:uiPriority w:val="9"/>
    <w:qFormat/>
    <w:pPr>
      <w:spacing w:before="120"/>
      <w:outlineLvl w:val="2"/>
    </w:pPr>
    <w:rPr>
      <w:sz w:val="28"/>
    </w:rPr>
  </w:style>
  <w:style w:type="paragraph" w:styleId="40">
    <w:name w:val="heading 4"/>
    <w:basedOn w:val="31"/>
    <w:next w:val="a1"/>
    <w:link w:val="41"/>
    <w:uiPriority w:val="9"/>
    <w:qFormat/>
    <w:pPr>
      <w:ind w:left="1418" w:hanging="1418"/>
      <w:outlineLvl w:val="3"/>
    </w:pPr>
    <w:rPr>
      <w:sz w:val="24"/>
    </w:rPr>
  </w:style>
  <w:style w:type="paragraph" w:styleId="50">
    <w:name w:val="heading 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1"/>
    <w:qFormat/>
    <w:pPr>
      <w:ind w:left="1135"/>
    </w:pPr>
  </w:style>
  <w:style w:type="paragraph" w:styleId="21">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beforeLines="50" w:before="50"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tabs>
        <w:tab w:val="left" w:pos="360"/>
      </w:tabs>
    </w:pPr>
  </w:style>
  <w:style w:type="paragraph" w:styleId="a">
    <w:name w:val="List Number"/>
    <w:basedOn w:val="a5"/>
    <w:qFormat/>
    <w:pPr>
      <w:numPr>
        <w:numId w:val="1"/>
      </w:numPr>
      <w:tabs>
        <w:tab w:val="left" w:pos="1800"/>
      </w:tabs>
      <w:ind w:left="1800"/>
    </w:pPr>
    <w:rPr>
      <w:lang w:eastAsia="ja-JP"/>
    </w:rPr>
  </w:style>
  <w:style w:type="paragraph" w:styleId="4">
    <w:name w:val="List Bullet 4"/>
    <w:basedOn w:val="30"/>
    <w:qFormat/>
    <w:pPr>
      <w:numPr>
        <w:numId w:val="2"/>
      </w:numPr>
      <w:ind w:left="2138"/>
    </w:pPr>
  </w:style>
  <w:style w:type="paragraph" w:styleId="30">
    <w:name w:val="List Bullet 3"/>
    <w:basedOn w:val="23"/>
    <w:qFormat/>
    <w:pPr>
      <w:numPr>
        <w:numId w:val="3"/>
      </w:numPr>
      <w:ind w:left="1854"/>
    </w:pPr>
  </w:style>
  <w:style w:type="paragraph" w:styleId="23">
    <w:name w:val="List Bullet 2"/>
    <w:basedOn w:val="a0"/>
    <w:qFormat/>
    <w:pPr>
      <w:ind w:left="1287"/>
    </w:pPr>
  </w:style>
  <w:style w:type="paragraph" w:styleId="a0">
    <w:name w:val="List Bullet"/>
    <w:basedOn w:val="a5"/>
    <w:qFormat/>
    <w:pPr>
      <w:numPr>
        <w:numId w:val="4"/>
      </w:numPr>
    </w:pPr>
    <w:rPr>
      <w:lang w:eastAsia="ja-JP"/>
    </w:rPr>
  </w:style>
  <w:style w:type="paragraph" w:styleId="a8">
    <w:name w:val="caption"/>
    <w:basedOn w:val="a1"/>
    <w:next w:val="a1"/>
    <w:link w:val="a9"/>
    <w:qFormat/>
    <w:pPr>
      <w:keepNext/>
      <w:spacing w:before="120" w:after="120" w:line="360" w:lineRule="auto"/>
    </w:pPr>
    <w:rPr>
      <w:rFonts w:ascii="Arial" w:hAnsi="Arial"/>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2"/>
    <w:qFormat/>
    <w:pPr>
      <w:numPr>
        <w:numId w:val="5"/>
      </w:numPr>
      <w:contextualSpacing/>
    </w:pPr>
  </w:style>
  <w:style w:type="paragraph" w:styleId="ae">
    <w:name w:val="List Continue"/>
    <w:basedOn w:val="a1"/>
    <w:qFormat/>
    <w:pPr>
      <w:spacing w:after="120"/>
      <w:ind w:left="283"/>
      <w:contextualSpacing/>
    </w:pPr>
    <w:rPr>
      <w:rFonts w:ascii="Arial" w:hAnsi="Arial"/>
    </w:rPr>
  </w:style>
  <w:style w:type="paragraph" w:styleId="af">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Plain Text"/>
    <w:basedOn w:val="a1"/>
    <w:link w:val="af1"/>
    <w:qFormat/>
    <w:rPr>
      <w:rFonts w:ascii="Courier New" w:hAnsi="Courier New"/>
      <w:lang w:val="nb-NO"/>
    </w:rPr>
  </w:style>
  <w:style w:type="paragraph" w:styleId="5">
    <w:name w:val="List Bullet 5"/>
    <w:basedOn w:val="4"/>
    <w:qFormat/>
    <w:pPr>
      <w:numPr>
        <w:numId w:val="6"/>
      </w:numPr>
      <w:ind w:left="1004"/>
    </w:pPr>
  </w:style>
  <w:style w:type="paragraph" w:styleId="TOC8">
    <w:name w:val="toc 8"/>
    <w:basedOn w:val="TOC1"/>
    <w:uiPriority w:val="39"/>
    <w:qFormat/>
    <w:pPr>
      <w:spacing w:before="180"/>
      <w:ind w:left="2693" w:hanging="2693"/>
    </w:pPr>
    <w:rPr>
      <w:b/>
    </w:rPr>
  </w:style>
  <w:style w:type="paragraph" w:styleId="af2">
    <w:name w:val="endnote text"/>
    <w:basedOn w:val="a1"/>
    <w:link w:val="af3"/>
    <w:qFormat/>
    <w:pPr>
      <w:spacing w:after="0"/>
    </w:pPr>
  </w:style>
  <w:style w:type="paragraph" w:styleId="af4">
    <w:name w:val="Balloon Text"/>
    <w:basedOn w:val="a1"/>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basedOn w:val="a1"/>
    <w:link w:val="af9"/>
    <w:qFormat/>
    <w:pPr>
      <w:widowControl w:val="0"/>
    </w:pPr>
    <w:rPr>
      <w:rFonts w:ascii="Arial" w:hAnsi="Arial"/>
      <w:b/>
      <w:sz w:val="18"/>
    </w:rPr>
  </w:style>
  <w:style w:type="paragraph" w:styleId="afa">
    <w:name w:val="index heading"/>
    <w:basedOn w:val="a1"/>
    <w:next w:val="a1"/>
    <w:qFormat/>
    <w:pPr>
      <w:pBdr>
        <w:top w:val="single" w:sz="12" w:space="0" w:color="auto"/>
      </w:pBdr>
      <w:spacing w:before="360" w:after="240"/>
    </w:pPr>
    <w:rPr>
      <w:b/>
      <w:i/>
      <w:sz w:val="26"/>
      <w:lang w:eastAsia="en-GB"/>
    </w:rPr>
  </w:style>
  <w:style w:type="paragraph" w:styleId="afb">
    <w:name w:val="footnote text"/>
    <w:basedOn w:val="a1"/>
    <w:link w:val="afc"/>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d">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e">
    <w:name w:val="Normal (Web)"/>
    <w:basedOn w:val="a1"/>
    <w:uiPriority w:val="99"/>
    <w:unhideWhenUsed/>
    <w:qFormat/>
    <w:pPr>
      <w:overflowPunct/>
      <w:autoSpaceDE/>
      <w:autoSpaceDN/>
      <w:adjustRightInd/>
      <w:spacing w:before="100" w:beforeAutospacing="1" w:after="100" w:afterAutospacing="1"/>
      <w:textAlignment w:val="auto"/>
    </w:pPr>
    <w:rPr>
      <w:rFonts w:eastAsia="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f">
    <w:name w:val="Title"/>
    <w:basedOn w:val="a1"/>
    <w:next w:val="a1"/>
    <w:link w:val="aff0"/>
    <w:uiPriority w:val="10"/>
    <w:qFormat/>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aff1">
    <w:name w:val="annotation subject"/>
    <w:basedOn w:val="ac"/>
    <w:next w:val="ac"/>
    <w:link w:val="aff2"/>
    <w:qFormat/>
    <w:rPr>
      <w:b/>
      <w:bCs/>
    </w:rPr>
  </w:style>
  <w:style w:type="table" w:styleId="aff3">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Pr>
      <w:b/>
      <w:bCs/>
    </w:rPr>
  </w:style>
  <w:style w:type="character" w:styleId="aff5">
    <w:name w:val="endnote reference"/>
    <w:basedOn w:val="a2"/>
    <w:qFormat/>
    <w:rPr>
      <w:vertAlign w:val="superscript"/>
    </w:rPr>
  </w:style>
  <w:style w:type="character" w:styleId="aff6">
    <w:name w:val="page number"/>
    <w:basedOn w:val="a2"/>
    <w:qFormat/>
  </w:style>
  <w:style w:type="character" w:styleId="aff7">
    <w:name w:val="FollowedHyperlink"/>
    <w:unhideWhenUsed/>
    <w:qFormat/>
    <w:rPr>
      <w:color w:val="800080"/>
      <w:u w:val="single"/>
    </w:rPr>
  </w:style>
  <w:style w:type="character" w:styleId="aff8">
    <w:name w:val="Emphasis"/>
    <w:rPr>
      <w:i/>
      <w:iCs/>
    </w:rPr>
  </w:style>
  <w:style w:type="character" w:styleId="af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szCs w:val="16"/>
    </w:rPr>
  </w:style>
  <w:style w:type="character" w:styleId="affb">
    <w:name w:val="footnote reference"/>
    <w:qFormat/>
    <w:rPr>
      <w:b/>
      <w:position w:val="6"/>
      <w:sz w:val="16"/>
    </w:rPr>
  </w:style>
  <w:style w:type="character" w:customStyle="1" w:styleId="20">
    <w:name w:val="标题 2 字符"/>
    <w:link w:val="2"/>
    <w:qFormat/>
    <w:rPr>
      <w:rFonts w:ascii="Arial" w:hAnsi="Arial"/>
      <w:sz w:val="32"/>
      <w:lang w:eastAsia="ja-JP"/>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7"/>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6"/>
    <w:qFormat/>
    <w:pPr>
      <w:numPr>
        <w:numId w:val="8"/>
      </w:numPr>
      <w:tabs>
        <w:tab w:val="left" w:pos="1701"/>
      </w:tabs>
    </w:pPr>
    <w:rPr>
      <w:b/>
      <w:bCs/>
    </w:rPr>
  </w:style>
  <w:style w:type="character" w:customStyle="1" w:styleId="a7">
    <w:name w:val="正文文本 字符"/>
    <w:link w:val="a6"/>
    <w:qFormat/>
    <w:rPr>
      <w:rFonts w:ascii="Times New Roman" w:hAnsi="Times New Roman"/>
      <w:lang w:val="en-GB"/>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9"/>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5">
    <w:name w:val="批注框文本 字符"/>
    <w:link w:val="af4"/>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f2">
    <w:name w:val="批注主题 字符"/>
    <w:link w:val="aff1"/>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0"/>
      </w:numPr>
      <w:tabs>
        <w:tab w:val="clear" w:pos="1619"/>
        <w:tab w:val="left" w:pos="360"/>
      </w:tabs>
      <w:spacing w:before="40" w:after="0"/>
      <w:ind w:left="0" w:firstLine="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9">
    <w:name w:val="页眉 字符"/>
    <w:link w:val="af7"/>
    <w:qFormat/>
    <w:rPr>
      <w:rFonts w:ascii="Arial" w:hAnsi="Arial"/>
      <w:b/>
      <w:sz w:val="18"/>
      <w:lang w:eastAsia="ja-JP"/>
    </w:rPr>
  </w:style>
  <w:style w:type="character" w:customStyle="1" w:styleId="af8">
    <w:name w:val="页脚 字符"/>
    <w:link w:val="af6"/>
    <w:qFormat/>
    <w:rPr>
      <w:rFonts w:ascii="Arial" w:hAnsi="Arial"/>
      <w:b/>
      <w:i/>
      <w:sz w:val="18"/>
      <w:lang w:eastAsia="ja-JP"/>
    </w:rPr>
  </w:style>
  <w:style w:type="character" w:customStyle="1" w:styleId="afc">
    <w:name w:val="脚注文本 字符"/>
    <w:link w:val="afb"/>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c">
    <w:name w:val="List Paragraph"/>
    <w:basedOn w:val="a1"/>
    <w:link w:val="affd"/>
    <w:uiPriority w:val="34"/>
    <w:qFormat/>
    <w:pPr>
      <w:spacing w:after="0"/>
      <w:ind w:left="720"/>
    </w:pPr>
    <w:rPr>
      <w:rFonts w:ascii="Calibri" w:eastAsia="Calibri" w:hAnsi="Calibri"/>
      <w:sz w:val="22"/>
      <w:szCs w:val="22"/>
      <w:lang w:val="zh-CN" w:eastAsia="en-US"/>
    </w:rPr>
  </w:style>
  <w:style w:type="character" w:customStyle="1" w:styleId="affd">
    <w:name w:val="列表段落 字符"/>
    <w:link w:val="af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1">
    <w:name w:val="纯文本 字符"/>
    <w:link w:val="af0"/>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unhideWhenUsed/>
    <w:qFormat/>
    <w:rPr>
      <w:color w:val="808080"/>
      <w:shd w:val="clear" w:color="auto" w:fill="E6E6E6"/>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13">
    <w:name w:val="@他1"/>
    <w:basedOn w:val="a2"/>
    <w:uiPriority w:val="99"/>
    <w:unhideWhenUsed/>
    <w:qFormat/>
    <w:rPr>
      <w:color w:val="2B579A"/>
      <w:shd w:val="clear" w:color="auto" w:fill="E1DFDD"/>
    </w:rPr>
  </w:style>
  <w:style w:type="character" w:customStyle="1" w:styleId="NOZchn">
    <w:name w:val="NO Zchn"/>
    <w:qFormat/>
    <w:locked/>
    <w:rPr>
      <w:lang w:val="en-GB" w:eastAsia="en-US"/>
    </w:rPr>
  </w:style>
  <w:style w:type="character" w:customStyle="1" w:styleId="B1Char">
    <w:name w:val="B1 Char"/>
    <w:qFormat/>
    <w:rPr>
      <w:lang w:val="en-GB" w:eastAsia="en-US"/>
    </w:rPr>
  </w:style>
  <w:style w:type="character" w:customStyle="1" w:styleId="B3Car">
    <w:name w:val="B3 Car"/>
    <w:qFormat/>
    <w:rPr>
      <w:rFonts w:eastAsia="Malgun Gothic"/>
      <w:color w:val="000000"/>
      <w:lang w:val="en-GB" w:eastAsia="ja-JP"/>
    </w:rPr>
  </w:style>
  <w:style w:type="character" w:styleId="affe">
    <w:name w:val="Placeholder Text"/>
    <w:basedOn w:val="a2"/>
    <w:uiPriority w:val="99"/>
    <w:semiHidden/>
    <w:qFormat/>
    <w:rPr>
      <w:color w:val="808080"/>
    </w:rPr>
  </w:style>
  <w:style w:type="paragraph" w:customStyle="1" w:styleId="Agreement">
    <w:name w:val="Agreement"/>
    <w:basedOn w:val="a1"/>
    <w:next w:val="Doc-text2"/>
    <w:qFormat/>
    <w:pPr>
      <w:numPr>
        <w:numId w:val="11"/>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7"/>
    <w:link w:val="IvDbodytext"/>
    <w:qFormat/>
    <w:rPr>
      <w:rFonts w:ascii="Arial" w:hAnsi="Arial"/>
      <w:spacing w:val="2"/>
      <w:lang w:val="en-US" w:eastAsia="en-US"/>
    </w:rPr>
  </w:style>
  <w:style w:type="character" w:customStyle="1" w:styleId="B1Zchn">
    <w:name w:val="B1 Zchn"/>
    <w:qFormat/>
    <w:locked/>
    <w:rPr>
      <w:rFonts w:ascii="Times New Roman" w:hAnsi="Times New Roman"/>
      <w:lang w:eastAsia="en-US"/>
    </w:rPr>
  </w:style>
  <w:style w:type="character" w:customStyle="1" w:styleId="mc-span">
    <w:name w:val="mc-span"/>
    <w:qFormat/>
  </w:style>
  <w:style w:type="character" w:customStyle="1" w:styleId="normaltextrun">
    <w:name w:val="normaltextrun"/>
    <w:basedOn w:val="a2"/>
    <w:qFormat/>
  </w:style>
  <w:style w:type="character" w:customStyle="1" w:styleId="14">
    <w:name w:val="智能链接1"/>
    <w:basedOn w:val="a2"/>
    <w:uiPriority w:val="99"/>
    <w:semiHidden/>
    <w:unhideWhenUsed/>
    <w:qFormat/>
    <w:rPr>
      <w:color w:val="0000FF"/>
      <w:u w:val="single"/>
      <w:shd w:val="clear" w:color="auto" w:fill="F3F2F1"/>
    </w:rPr>
  </w:style>
  <w:style w:type="character" w:customStyle="1" w:styleId="a9">
    <w:name w:val="题注 字符"/>
    <w:link w:val="a8"/>
    <w:qFormat/>
    <w:rPr>
      <w:rFonts w:ascii="Arial" w:hAnsi="Arial"/>
      <w:b/>
    </w:rPr>
  </w:style>
  <w:style w:type="paragraph" w:customStyle="1" w:styleId="15">
    <w:name w:val="修订1"/>
    <w:hidden/>
    <w:uiPriority w:val="99"/>
    <w:semiHidden/>
    <w:qFormat/>
    <w:rPr>
      <w:lang w:val="en-GB" w:eastAsia="ja-JP"/>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f3">
    <w:name w:val="尾注文本 字符"/>
    <w:basedOn w:val="a2"/>
    <w:link w:val="af2"/>
    <w:qFormat/>
    <w:rPr>
      <w:rFonts w:ascii="Times New Roman" w:hAnsi="Times New Roman"/>
      <w:lang w:eastAsia="ja-JP"/>
    </w:rPr>
  </w:style>
  <w:style w:type="character" w:customStyle="1" w:styleId="ui-provider">
    <w:name w:val="ui-provider"/>
    <w:basedOn w:val="a2"/>
    <w:qFormat/>
  </w:style>
  <w:style w:type="paragraph" w:customStyle="1" w:styleId="Headin3">
    <w:name w:val="Headin 3"/>
    <w:basedOn w:val="40"/>
    <w:qFormat/>
    <w:rPr>
      <w:rFonts w:eastAsia="Times New Roman"/>
    </w:rPr>
  </w:style>
  <w:style w:type="character" w:customStyle="1" w:styleId="cf01">
    <w:name w:val="cf01"/>
    <w:basedOn w:val="a2"/>
    <w:qFormat/>
    <w:rPr>
      <w:rFonts w:ascii="Segoe UI" w:hAnsi="Segoe UI" w:cs="Segoe UI" w:hint="default"/>
      <w:sz w:val="18"/>
      <w:szCs w:val="18"/>
    </w:rPr>
  </w:style>
  <w:style w:type="paragraph" w:customStyle="1" w:styleId="Norml">
    <w:name w:val="Norml"/>
    <w:basedOn w:val="Proposal"/>
    <w:qFormat/>
    <w:pPr>
      <w:numPr>
        <w:numId w:val="0"/>
      </w:numPr>
      <w:ind w:left="1304" w:hanging="1304"/>
    </w:pPr>
  </w:style>
  <w:style w:type="paragraph" w:customStyle="1" w:styleId="comments0">
    <w:name w:val="comments"/>
    <w:basedOn w:val="a1"/>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a2"/>
    <w:qFormat/>
  </w:style>
  <w:style w:type="character" w:customStyle="1" w:styleId="B10">
    <w:name w:val="B1 (文字)"/>
    <w:qFormat/>
    <w:locked/>
  </w:style>
  <w:style w:type="character" w:customStyle="1" w:styleId="aff0">
    <w:name w:val="标题 字符"/>
    <w:basedOn w:val="a2"/>
    <w:link w:val="aff"/>
    <w:uiPriority w:val="10"/>
    <w:qFormat/>
    <w:rPr>
      <w:rFonts w:ascii="Arial" w:hAnsi="Arial" w:cs="Arial"/>
      <w:b/>
      <w:bCs/>
      <w:kern w:val="28"/>
      <w:lang w:eastAsia="en-US"/>
    </w:rPr>
  </w:style>
  <w:style w:type="paragraph" w:customStyle="1" w:styleId="Contact">
    <w:name w:val="Contact"/>
    <w:basedOn w:val="40"/>
    <w:qFormat/>
    <w:pPr>
      <w:keepNext w:val="0"/>
      <w:keepLines w:val="0"/>
      <w:spacing w:before="0" w:after="0"/>
      <w:ind w:left="567"/>
    </w:pPr>
    <w:rPr>
      <w:rFonts w:cs="Arial"/>
      <w:sz w:val="20"/>
    </w:rPr>
  </w:style>
  <w:style w:type="paragraph" w:customStyle="1" w:styleId="Doc-comment">
    <w:name w:val="Doc-comment"/>
    <w:basedOn w:val="a1"/>
    <w:next w:val="Doc-text2"/>
    <w:qFormat/>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a1"/>
    <w:qFormat/>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qFormat/>
    <w:pPr>
      <w:numPr>
        <w:numId w:val="12"/>
      </w:numPr>
      <w:tabs>
        <w:tab w:val="clear" w:pos="1259"/>
        <w:tab w:val="clear" w:pos="1622"/>
        <w:tab w:val="left" w:pos="360"/>
        <w:tab w:val="left"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6">
    <w:name w:val="网格型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60</TotalTime>
  <Pages>4</Pages>
  <Words>1532</Words>
  <Characters>9028</Characters>
  <Application>Microsoft Office Word</Application>
  <DocSecurity>0</DocSecurity>
  <Lines>128</Lines>
  <Paragraphs>56</Paragraphs>
  <ScaleCrop>false</ScaleCrop>
  <Company>Ericsson</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 Qu</dc:creator>
  <cp:lastModifiedBy>Miao Qu</cp:lastModifiedBy>
  <cp:revision>5</cp:revision>
  <cp:lastPrinted>2008-02-07T01:09:00Z</cp:lastPrinted>
  <dcterms:created xsi:type="dcterms:W3CDTF">2025-11-07T06:09:00Z</dcterms:created>
  <dcterms:modified xsi:type="dcterms:W3CDTF">2025-11-07T07:39:00Z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2052-12.1.0.23542</vt:lpwstr>
  </property>
  <property fmtid="{D5CDD505-2E9C-101B-9397-08002B2CF9AE}" pid="17" name="ICV">
    <vt:lpwstr>A6CBC2DE6D0A4DBA8BCE74BCEBEE464D_12</vt:lpwstr>
  </property>
  <property fmtid="{D5CDD505-2E9C-101B-9397-08002B2CF9AE}" pid="18" name="GrammarlyDocumentId">
    <vt:lpwstr>86193d24-0428-435e-9454-42d8bffed434</vt:lpwstr>
  </property>
</Properties>
</file>